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CC5C3" w14:textId="77777777" w:rsidR="00531693" w:rsidRDefault="00000000">
      <w:pPr>
        <w:spacing w:beforeLines="50" w:before="156" w:afterLines="50" w:after="156" w:line="360" w:lineRule="exact"/>
      </w:pPr>
      <w:r>
        <w:t>股票代码：</w:t>
      </w:r>
      <w:r>
        <w:t xml:space="preserve">002672               </w:t>
      </w:r>
      <w:r>
        <w:t>股票简称：东江环保</w:t>
      </w:r>
      <w:r>
        <w:t xml:space="preserve">           </w:t>
      </w:r>
      <w:r>
        <w:t>公告编号：</w:t>
      </w:r>
      <w:r>
        <w:t>202</w:t>
      </w:r>
      <w:r>
        <w:rPr>
          <w:rFonts w:hint="eastAsia"/>
        </w:rPr>
        <w:t>6</w:t>
      </w:r>
      <w:r>
        <w:t>-</w:t>
      </w:r>
      <w:r>
        <w:rPr>
          <w:rFonts w:hint="eastAsia"/>
        </w:rPr>
        <w:t>19</w:t>
      </w:r>
    </w:p>
    <w:p w14:paraId="763BADCB" w14:textId="77777777" w:rsidR="00531693" w:rsidRDefault="00000000">
      <w:pPr>
        <w:spacing w:line="520" w:lineRule="exact"/>
        <w:jc w:val="center"/>
        <w:rPr>
          <w:b/>
          <w:sz w:val="32"/>
          <w:szCs w:val="32"/>
        </w:rPr>
      </w:pPr>
      <w:r>
        <w:rPr>
          <w:b/>
          <w:sz w:val="32"/>
          <w:szCs w:val="32"/>
        </w:rPr>
        <w:t>东江环保股份有限公司</w:t>
      </w:r>
    </w:p>
    <w:p w14:paraId="6A872A6C" w14:textId="255D10BF" w:rsidR="00531693" w:rsidRDefault="00000000">
      <w:pPr>
        <w:spacing w:line="520" w:lineRule="exact"/>
        <w:jc w:val="center"/>
        <w:rPr>
          <w:b/>
          <w:sz w:val="32"/>
          <w:szCs w:val="32"/>
        </w:rPr>
      </w:pPr>
      <w:r>
        <w:rPr>
          <w:rFonts w:hint="eastAsia"/>
          <w:b/>
          <w:sz w:val="32"/>
          <w:szCs w:val="32"/>
        </w:rPr>
        <w:t>关于签订</w:t>
      </w:r>
      <w:r>
        <w:rPr>
          <w:rFonts w:hint="eastAsia"/>
          <w:b/>
          <w:sz w:val="32"/>
          <w:szCs w:val="32"/>
        </w:rPr>
        <w:t>2026</w:t>
      </w:r>
      <w:r>
        <w:rPr>
          <w:rFonts w:hint="eastAsia"/>
          <w:b/>
          <w:sz w:val="32"/>
          <w:szCs w:val="32"/>
        </w:rPr>
        <w:t>年度框架协议暨关联交易进展的公告</w:t>
      </w:r>
    </w:p>
    <w:p w14:paraId="5E735DCE" w14:textId="77777777" w:rsidR="00531693" w:rsidRDefault="00000000">
      <w:pPr>
        <w:autoSpaceDE w:val="0"/>
        <w:autoSpaceDN w:val="0"/>
        <w:adjustRightInd w:val="0"/>
        <w:spacing w:line="360" w:lineRule="auto"/>
        <w:ind w:left="360"/>
        <w:jc w:val="center"/>
        <w:rPr>
          <w:sz w:val="24"/>
        </w:rPr>
      </w:pPr>
      <w:r>
        <w:rPr>
          <w:noProof/>
        </w:rPr>
        <mc:AlternateContent>
          <mc:Choice Requires="wps">
            <w:drawing>
              <wp:anchor distT="0" distB="0" distL="114300" distR="114300" simplePos="0" relativeHeight="251659264" behindDoc="0" locked="0" layoutInCell="1" allowOverlap="1" wp14:anchorId="1ADF9CCE" wp14:editId="0F8F4EA6">
                <wp:simplePos x="0" y="0"/>
                <wp:positionH relativeFrom="margin">
                  <wp:posOffset>-89535</wp:posOffset>
                </wp:positionH>
                <wp:positionV relativeFrom="paragraph">
                  <wp:posOffset>125730</wp:posOffset>
                </wp:positionV>
                <wp:extent cx="5422265" cy="714375"/>
                <wp:effectExtent l="0" t="0" r="26670" b="28575"/>
                <wp:wrapNone/>
                <wp:docPr id="22" name="矩形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2265" cy="714375"/>
                        </a:xfrm>
                        <a:prstGeom prst="rect">
                          <a:avLst/>
                        </a:prstGeom>
                        <a:solidFill>
                          <a:srgbClr val="FFFFFF"/>
                        </a:solidFill>
                        <a:ln w="9525">
                          <a:solidFill>
                            <a:srgbClr val="000000"/>
                          </a:solidFill>
                          <a:miter lim="800000"/>
                        </a:ln>
                      </wps:spPr>
                      <wps:txbx>
                        <w:txbxContent>
                          <w:p w14:paraId="649F7E24" w14:textId="77777777" w:rsidR="00531693" w:rsidRDefault="00000000">
                            <w:pPr>
                              <w:spacing w:line="440" w:lineRule="exact"/>
                              <w:ind w:firstLineChars="200" w:firstLine="480"/>
                              <w:rPr>
                                <w:rFonts w:ascii="楷体_GB2312" w:eastAsia="楷体_GB2312"/>
                                <w:sz w:val="24"/>
                              </w:rPr>
                            </w:pPr>
                            <w:r>
                              <w:rPr>
                                <w:bCs/>
                                <w:sz w:val="24"/>
                              </w:rPr>
                              <w:t>本公司及其董事会全体成员保证信息披露内容真实、准确、完整，没有虚假记载、误导性陈述或重大遗漏。</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7.05pt;margin-top:9.9pt;height:56.25pt;width:426.95pt;mso-position-horizontal-relative:margin;z-index:251659264;mso-width-relative:page;mso-height-relative:page;" fillcolor="#FFFFFF" filled="t" stroked="t" coordsize="21600,21600" o:gfxdata="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3Y72g1wAAAAoBAAAPAAAAAAAAAAEAIAAAACIAAABkcnMvZG93&#10;bnJldi54bWxQSwECFAAUAAAACACHTuJAE8aQEDoCAAB8BAAADgAAAAAAAAABACAAAAAmAQAAZHJz&#10;L2Uyb0RvYy54bWxQSwUGAAAAAAYABgBZAQAA0gUAAAAA&#10;">
                <v:fill on="t" focussize="0,0"/>
                <v:stroke color="#000000" miterlimit="8" joinstyle="miter"/>
                <v:imagedata o:title=""/>
                <o:lock v:ext="edit" aspectratio="f"/>
                <v:textbox>
                  <w:txbxContent>
                    <w:p w14:paraId="56403215">
                      <w:pPr>
                        <w:spacing w:line="440" w:lineRule="exact"/>
                        <w:ind w:firstLine="480" w:firstLineChars="200"/>
                        <w:rPr>
                          <w:rFonts w:ascii="楷体_GB2312" w:eastAsia="楷体_GB2312"/>
                          <w:sz w:val="24"/>
                        </w:rPr>
                      </w:pPr>
                      <w:r>
                        <w:rPr>
                          <w:bCs/>
                          <w:sz w:val="24"/>
                        </w:rPr>
                        <w:t>本公司及其董事会全体成员保证信息披露内容真实、准确、完整，没有虚假记载、误导性陈述或重大遗漏。</w:t>
                      </w:r>
                    </w:p>
                  </w:txbxContent>
                </v:textbox>
              </v:rect>
            </w:pict>
          </mc:Fallback>
        </mc:AlternateContent>
      </w:r>
    </w:p>
    <w:p w14:paraId="0AE2893F" w14:textId="77777777" w:rsidR="00531693" w:rsidRDefault="00531693">
      <w:pPr>
        <w:tabs>
          <w:tab w:val="left" w:pos="1260"/>
        </w:tabs>
        <w:autoSpaceDE w:val="0"/>
        <w:autoSpaceDN w:val="0"/>
        <w:adjustRightInd w:val="0"/>
        <w:spacing w:line="360" w:lineRule="auto"/>
        <w:ind w:firstLine="538"/>
        <w:rPr>
          <w:sz w:val="24"/>
        </w:rPr>
      </w:pPr>
    </w:p>
    <w:p w14:paraId="2FB7EE75" w14:textId="77777777" w:rsidR="00531693" w:rsidRDefault="00531693">
      <w:pPr>
        <w:spacing w:line="360" w:lineRule="auto"/>
        <w:rPr>
          <w:sz w:val="24"/>
        </w:rPr>
      </w:pPr>
    </w:p>
    <w:p w14:paraId="3E43DDAA" w14:textId="77777777" w:rsidR="00531693" w:rsidRDefault="00000000">
      <w:pPr>
        <w:spacing w:beforeLines="50" w:before="156" w:afterLines="50" w:after="156" w:line="420" w:lineRule="exact"/>
        <w:ind w:firstLineChars="200" w:firstLine="482"/>
        <w:outlineLvl w:val="0"/>
        <w:rPr>
          <w:b/>
          <w:sz w:val="24"/>
          <w:szCs w:val="32"/>
        </w:rPr>
      </w:pPr>
      <w:bookmarkStart w:id="0" w:name="_Hlk213417366"/>
      <w:r>
        <w:rPr>
          <w:b/>
          <w:sz w:val="24"/>
          <w:szCs w:val="32"/>
        </w:rPr>
        <w:t>一、关联交易概述</w:t>
      </w:r>
    </w:p>
    <w:p w14:paraId="4C9B9075" w14:textId="244F39B9" w:rsidR="00531693" w:rsidRDefault="00000000">
      <w:pPr>
        <w:tabs>
          <w:tab w:val="left" w:pos="1260"/>
        </w:tabs>
        <w:autoSpaceDE w:val="0"/>
        <w:autoSpaceDN w:val="0"/>
        <w:adjustRightInd w:val="0"/>
        <w:spacing w:afterLines="50" w:after="156" w:line="360" w:lineRule="auto"/>
        <w:ind w:firstLineChars="200" w:firstLine="480"/>
        <w:rPr>
          <w:sz w:val="24"/>
        </w:rPr>
      </w:pPr>
      <w:bookmarkStart w:id="1" w:name="OLE_LINK4"/>
      <w:bookmarkStart w:id="2" w:name="OLE_LINK5"/>
      <w:bookmarkStart w:id="3" w:name="_Hlk166656940"/>
      <w:r>
        <w:rPr>
          <w:sz w:val="24"/>
        </w:rPr>
        <w:t>2025</w:t>
      </w:r>
      <w:r>
        <w:rPr>
          <w:sz w:val="24"/>
        </w:rPr>
        <w:t>年</w:t>
      </w:r>
      <w:r>
        <w:rPr>
          <w:sz w:val="24"/>
        </w:rPr>
        <w:t>12</w:t>
      </w:r>
      <w:r>
        <w:rPr>
          <w:sz w:val="24"/>
        </w:rPr>
        <w:t>月</w:t>
      </w:r>
      <w:r>
        <w:rPr>
          <w:sz w:val="24"/>
        </w:rPr>
        <w:t>22</w:t>
      </w:r>
      <w:r>
        <w:rPr>
          <w:sz w:val="24"/>
        </w:rPr>
        <w:t>日，东江环保股份有限公司（以下简称</w:t>
      </w:r>
      <w:r>
        <w:rPr>
          <w:rFonts w:hint="eastAsia"/>
          <w:sz w:val="24"/>
        </w:rPr>
        <w:t>“</w:t>
      </w:r>
      <w:r>
        <w:rPr>
          <w:sz w:val="24"/>
        </w:rPr>
        <w:t>公司</w:t>
      </w:r>
      <w:r>
        <w:rPr>
          <w:rFonts w:hint="eastAsia"/>
          <w:sz w:val="24"/>
        </w:rPr>
        <w:t>”</w:t>
      </w:r>
      <w:r>
        <w:rPr>
          <w:sz w:val="24"/>
        </w:rPr>
        <w:t>）第八届董事会第十一次会议审议通过了《</w:t>
      </w:r>
      <w:r>
        <w:rPr>
          <w:rFonts w:hint="eastAsia"/>
          <w:sz w:val="24"/>
        </w:rPr>
        <w:t>关于</w:t>
      </w:r>
      <w:r>
        <w:rPr>
          <w:rFonts w:hint="eastAsia"/>
          <w:sz w:val="24"/>
        </w:rPr>
        <w:t>2026</w:t>
      </w:r>
      <w:r>
        <w:rPr>
          <w:rFonts w:hint="eastAsia"/>
          <w:sz w:val="24"/>
        </w:rPr>
        <w:t>年度日常关联交易预计的议案</w:t>
      </w:r>
      <w:r>
        <w:rPr>
          <w:sz w:val="24"/>
        </w:rPr>
        <w:t>》，</w:t>
      </w:r>
      <w:r>
        <w:rPr>
          <w:rFonts w:hint="eastAsia"/>
          <w:sz w:val="24"/>
        </w:rPr>
        <w:t>根据日常生产经营需要，公司及控股子公司预计</w:t>
      </w:r>
      <w:r>
        <w:rPr>
          <w:rFonts w:hint="eastAsia"/>
          <w:sz w:val="24"/>
        </w:rPr>
        <w:t>2026</w:t>
      </w:r>
      <w:r>
        <w:rPr>
          <w:rFonts w:hint="eastAsia"/>
          <w:sz w:val="24"/>
        </w:rPr>
        <w:t>年度将与控股股东广东省广晟控股集团有限公司（以下简称“广晟控股集团”）及其下属企业、中国宝武钢铁集团有限公司及其下属子公司、江苏省苏豪控股集团有限公司及其下属企业、欧晟绿色燃料（揭阳）有限公司、惠州东江威立雅环境服务有限公司发生向关联方购销产品、提供及接受劳务等日常关联交易，预计总金额为不超过人民币</w:t>
      </w:r>
      <w:r>
        <w:rPr>
          <w:rFonts w:hint="eastAsia"/>
          <w:sz w:val="24"/>
        </w:rPr>
        <w:t>27,100</w:t>
      </w:r>
      <w:r>
        <w:rPr>
          <w:rFonts w:hint="eastAsia"/>
          <w:sz w:val="24"/>
        </w:rPr>
        <w:t>万元（不含税）</w:t>
      </w:r>
      <w:r>
        <w:rPr>
          <w:sz w:val="24"/>
        </w:rPr>
        <w:t>。</w:t>
      </w:r>
    </w:p>
    <w:p w14:paraId="0701C035"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上述议案已经</w:t>
      </w:r>
      <w:r>
        <w:rPr>
          <w:sz w:val="24"/>
        </w:rPr>
        <w:t>公司独立董事专门会议</w:t>
      </w:r>
      <w:r>
        <w:rPr>
          <w:rFonts w:hint="eastAsia"/>
          <w:sz w:val="24"/>
        </w:rPr>
        <w:t>第三次会议审议通过并</w:t>
      </w:r>
      <w:r>
        <w:rPr>
          <w:sz w:val="24"/>
        </w:rPr>
        <w:t>出具审核意见</w:t>
      </w:r>
      <w:r>
        <w:rPr>
          <w:rFonts w:hint="eastAsia"/>
          <w:sz w:val="24"/>
        </w:rPr>
        <w:t>，并已经公司</w:t>
      </w:r>
      <w:r>
        <w:rPr>
          <w:rFonts w:hint="eastAsia"/>
          <w:sz w:val="24"/>
        </w:rPr>
        <w:t>2026</w:t>
      </w:r>
      <w:r>
        <w:rPr>
          <w:rFonts w:hint="eastAsia"/>
          <w:sz w:val="24"/>
        </w:rPr>
        <w:t>年第一次临时股东会审议通过，具体内容详见公司于</w:t>
      </w:r>
      <w:r>
        <w:rPr>
          <w:sz w:val="24"/>
        </w:rPr>
        <w:t>2025</w:t>
      </w:r>
      <w:r>
        <w:rPr>
          <w:sz w:val="24"/>
        </w:rPr>
        <w:t>年</w:t>
      </w:r>
      <w:r>
        <w:rPr>
          <w:sz w:val="24"/>
        </w:rPr>
        <w:t>12</w:t>
      </w:r>
      <w:r>
        <w:rPr>
          <w:sz w:val="24"/>
        </w:rPr>
        <w:t>月</w:t>
      </w:r>
      <w:r>
        <w:rPr>
          <w:sz w:val="24"/>
        </w:rPr>
        <w:t>23</w:t>
      </w:r>
      <w:r>
        <w:rPr>
          <w:sz w:val="24"/>
        </w:rPr>
        <w:t>日</w:t>
      </w:r>
      <w:r>
        <w:rPr>
          <w:rFonts w:hint="eastAsia"/>
          <w:sz w:val="24"/>
        </w:rPr>
        <w:t>、</w:t>
      </w:r>
      <w:r>
        <w:rPr>
          <w:rFonts w:hint="eastAsia"/>
          <w:sz w:val="24"/>
        </w:rPr>
        <w:t>2026</w:t>
      </w:r>
      <w:r>
        <w:rPr>
          <w:rFonts w:hint="eastAsia"/>
          <w:sz w:val="24"/>
        </w:rPr>
        <w:t>年</w:t>
      </w:r>
      <w:r>
        <w:rPr>
          <w:rFonts w:hint="eastAsia"/>
          <w:sz w:val="24"/>
        </w:rPr>
        <w:t>1</w:t>
      </w:r>
      <w:r>
        <w:rPr>
          <w:rFonts w:hint="eastAsia"/>
          <w:sz w:val="24"/>
        </w:rPr>
        <w:t>月</w:t>
      </w:r>
      <w:r>
        <w:rPr>
          <w:rFonts w:hint="eastAsia"/>
          <w:sz w:val="24"/>
        </w:rPr>
        <w:t>31</w:t>
      </w:r>
      <w:r>
        <w:rPr>
          <w:rFonts w:hint="eastAsia"/>
          <w:sz w:val="24"/>
        </w:rPr>
        <w:t>日在《证券时报》、巨潮资讯网披露的相关公告。</w:t>
      </w:r>
    </w:p>
    <w:p w14:paraId="693773B7"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其中，</w:t>
      </w:r>
      <w:r>
        <w:rPr>
          <w:rFonts w:hint="eastAsia"/>
          <w:sz w:val="24"/>
        </w:rPr>
        <w:t>2026</w:t>
      </w:r>
      <w:r>
        <w:rPr>
          <w:rFonts w:hint="eastAsia"/>
          <w:sz w:val="24"/>
        </w:rPr>
        <w:t>年度公司与广晟控股集团日常关联交易预计情况如下：</w:t>
      </w:r>
    </w:p>
    <w:tbl>
      <w:tblPr>
        <w:tblW w:w="8359" w:type="dxa"/>
        <w:tblLook w:val="04A0" w:firstRow="1" w:lastRow="0" w:firstColumn="1" w:lastColumn="0" w:noHBand="0" w:noVBand="1"/>
      </w:tblPr>
      <w:tblGrid>
        <w:gridCol w:w="846"/>
        <w:gridCol w:w="2410"/>
        <w:gridCol w:w="3118"/>
        <w:gridCol w:w="1985"/>
      </w:tblGrid>
      <w:tr w:rsidR="00531693" w14:paraId="759BCF69"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5F11BE" w14:textId="77777777" w:rsidR="00531693" w:rsidRDefault="00000000">
            <w:pPr>
              <w:widowControl/>
              <w:jc w:val="center"/>
              <w:rPr>
                <w:b/>
                <w:bCs/>
                <w:color w:val="000000"/>
                <w:kern w:val="0"/>
                <w:szCs w:val="21"/>
              </w:rPr>
            </w:pPr>
            <w:r>
              <w:rPr>
                <w:b/>
                <w:bCs/>
                <w:color w:val="000000"/>
                <w:kern w:val="0"/>
                <w:szCs w:val="21"/>
              </w:rPr>
              <w:t>序号</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D386CD5" w14:textId="77777777" w:rsidR="00531693" w:rsidRDefault="00000000">
            <w:pPr>
              <w:widowControl/>
              <w:jc w:val="center"/>
              <w:rPr>
                <w:b/>
                <w:bCs/>
                <w:color w:val="000000"/>
                <w:kern w:val="0"/>
                <w:szCs w:val="21"/>
              </w:rPr>
            </w:pPr>
            <w:r>
              <w:rPr>
                <w:b/>
                <w:bCs/>
                <w:color w:val="000000"/>
                <w:kern w:val="0"/>
                <w:szCs w:val="21"/>
              </w:rPr>
              <w:t>关联交易类别</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B3F3CF" w14:textId="77777777" w:rsidR="00531693" w:rsidRDefault="00000000">
            <w:pPr>
              <w:widowControl/>
              <w:jc w:val="center"/>
              <w:rPr>
                <w:b/>
                <w:bCs/>
                <w:color w:val="000000"/>
                <w:kern w:val="0"/>
                <w:szCs w:val="21"/>
              </w:rPr>
            </w:pPr>
            <w:r>
              <w:rPr>
                <w:b/>
                <w:bCs/>
                <w:color w:val="000000"/>
                <w:kern w:val="0"/>
                <w:szCs w:val="21"/>
              </w:rPr>
              <w:t>关联交易内容</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A9D0A29" w14:textId="77777777" w:rsidR="00531693" w:rsidRDefault="00000000">
            <w:pPr>
              <w:widowControl/>
              <w:jc w:val="center"/>
              <w:rPr>
                <w:b/>
                <w:bCs/>
                <w:color w:val="000000"/>
                <w:kern w:val="0"/>
                <w:szCs w:val="21"/>
              </w:rPr>
            </w:pPr>
            <w:r>
              <w:rPr>
                <w:b/>
                <w:bCs/>
                <w:color w:val="000000"/>
                <w:kern w:val="0"/>
                <w:szCs w:val="21"/>
              </w:rPr>
              <w:t>2026</w:t>
            </w:r>
            <w:r>
              <w:rPr>
                <w:b/>
                <w:bCs/>
                <w:color w:val="000000"/>
                <w:kern w:val="0"/>
                <w:szCs w:val="21"/>
              </w:rPr>
              <w:t>年度预计金额（万元）</w:t>
            </w:r>
          </w:p>
        </w:tc>
      </w:tr>
      <w:tr w:rsidR="00531693" w14:paraId="33F30E99" w14:textId="77777777">
        <w:trPr>
          <w:trHeight w:val="20"/>
        </w:trPr>
        <w:tc>
          <w:tcPr>
            <w:tcW w:w="846" w:type="dxa"/>
            <w:tcBorders>
              <w:top w:val="nil"/>
              <w:left w:val="single" w:sz="4" w:space="0" w:color="auto"/>
              <w:bottom w:val="single" w:sz="4" w:space="0" w:color="auto"/>
              <w:right w:val="single" w:sz="4" w:space="0" w:color="auto"/>
            </w:tcBorders>
            <w:noWrap/>
            <w:vAlign w:val="center"/>
          </w:tcPr>
          <w:p w14:paraId="7570ED8C" w14:textId="77777777" w:rsidR="00531693" w:rsidRDefault="00000000">
            <w:pPr>
              <w:widowControl/>
              <w:jc w:val="center"/>
              <w:rPr>
                <w:color w:val="000000"/>
                <w:kern w:val="0"/>
                <w:sz w:val="22"/>
                <w:szCs w:val="22"/>
              </w:rPr>
            </w:pPr>
            <w:r>
              <w:rPr>
                <w:color w:val="000000"/>
                <w:kern w:val="0"/>
                <w:sz w:val="22"/>
                <w:szCs w:val="22"/>
              </w:rPr>
              <w:t>1</w:t>
            </w:r>
          </w:p>
        </w:tc>
        <w:tc>
          <w:tcPr>
            <w:tcW w:w="2410" w:type="dxa"/>
            <w:tcBorders>
              <w:top w:val="nil"/>
              <w:left w:val="nil"/>
              <w:bottom w:val="single" w:sz="4" w:space="0" w:color="auto"/>
              <w:right w:val="single" w:sz="4" w:space="0" w:color="auto"/>
            </w:tcBorders>
            <w:noWrap/>
            <w:vAlign w:val="center"/>
          </w:tcPr>
          <w:p w14:paraId="0855FE30" w14:textId="77777777" w:rsidR="00531693" w:rsidRDefault="00000000">
            <w:pPr>
              <w:widowControl/>
              <w:jc w:val="left"/>
              <w:rPr>
                <w:color w:val="000000"/>
                <w:kern w:val="0"/>
                <w:sz w:val="22"/>
                <w:szCs w:val="22"/>
              </w:rPr>
            </w:pPr>
            <w:r>
              <w:rPr>
                <w:color w:val="000000"/>
                <w:kern w:val="0"/>
                <w:sz w:val="22"/>
                <w:szCs w:val="22"/>
              </w:rPr>
              <w:t>向关联人销售产品、商品</w:t>
            </w:r>
          </w:p>
        </w:tc>
        <w:tc>
          <w:tcPr>
            <w:tcW w:w="3118" w:type="dxa"/>
            <w:tcBorders>
              <w:top w:val="nil"/>
              <w:left w:val="nil"/>
              <w:bottom w:val="single" w:sz="4" w:space="0" w:color="auto"/>
              <w:right w:val="single" w:sz="4" w:space="0" w:color="auto"/>
            </w:tcBorders>
            <w:noWrap/>
            <w:vAlign w:val="center"/>
          </w:tcPr>
          <w:p w14:paraId="66052152" w14:textId="77777777" w:rsidR="00531693" w:rsidRDefault="00000000">
            <w:pPr>
              <w:widowControl/>
              <w:jc w:val="left"/>
              <w:rPr>
                <w:color w:val="000000"/>
                <w:kern w:val="0"/>
                <w:sz w:val="22"/>
                <w:szCs w:val="22"/>
              </w:rPr>
            </w:pPr>
            <w:r>
              <w:rPr>
                <w:color w:val="000000"/>
                <w:kern w:val="0"/>
                <w:sz w:val="22"/>
                <w:szCs w:val="22"/>
              </w:rPr>
              <w:t>销售资源化产品等</w:t>
            </w:r>
          </w:p>
        </w:tc>
        <w:tc>
          <w:tcPr>
            <w:tcW w:w="1985" w:type="dxa"/>
            <w:tcBorders>
              <w:top w:val="nil"/>
              <w:left w:val="nil"/>
              <w:bottom w:val="single" w:sz="4" w:space="0" w:color="auto"/>
              <w:right w:val="single" w:sz="4" w:space="0" w:color="auto"/>
            </w:tcBorders>
            <w:noWrap/>
            <w:vAlign w:val="center"/>
          </w:tcPr>
          <w:p w14:paraId="6DDC353B" w14:textId="77777777" w:rsidR="00531693" w:rsidRDefault="00000000">
            <w:pPr>
              <w:widowControl/>
              <w:jc w:val="right"/>
              <w:rPr>
                <w:color w:val="000000"/>
                <w:kern w:val="0"/>
                <w:sz w:val="22"/>
                <w:szCs w:val="22"/>
              </w:rPr>
            </w:pPr>
            <w:r>
              <w:rPr>
                <w:color w:val="000000"/>
                <w:kern w:val="0"/>
                <w:sz w:val="22"/>
                <w:szCs w:val="22"/>
              </w:rPr>
              <w:t>4,000</w:t>
            </w:r>
          </w:p>
        </w:tc>
      </w:tr>
      <w:tr w:rsidR="00531693" w14:paraId="3E6829C2" w14:textId="77777777">
        <w:trPr>
          <w:trHeight w:val="20"/>
        </w:trPr>
        <w:tc>
          <w:tcPr>
            <w:tcW w:w="846" w:type="dxa"/>
            <w:tcBorders>
              <w:top w:val="nil"/>
              <w:left w:val="single" w:sz="4" w:space="0" w:color="auto"/>
              <w:bottom w:val="single" w:sz="4" w:space="0" w:color="auto"/>
              <w:right w:val="single" w:sz="4" w:space="0" w:color="auto"/>
            </w:tcBorders>
            <w:noWrap/>
            <w:vAlign w:val="center"/>
          </w:tcPr>
          <w:p w14:paraId="0E83C84B" w14:textId="77777777" w:rsidR="00531693" w:rsidRDefault="00000000">
            <w:pPr>
              <w:widowControl/>
              <w:jc w:val="center"/>
              <w:rPr>
                <w:color w:val="000000"/>
                <w:kern w:val="0"/>
                <w:sz w:val="22"/>
                <w:szCs w:val="22"/>
              </w:rPr>
            </w:pPr>
            <w:r>
              <w:rPr>
                <w:color w:val="000000"/>
                <w:kern w:val="0"/>
                <w:sz w:val="22"/>
                <w:szCs w:val="22"/>
              </w:rPr>
              <w:t>2</w:t>
            </w:r>
          </w:p>
        </w:tc>
        <w:tc>
          <w:tcPr>
            <w:tcW w:w="2410" w:type="dxa"/>
            <w:tcBorders>
              <w:top w:val="nil"/>
              <w:left w:val="nil"/>
              <w:bottom w:val="single" w:sz="4" w:space="0" w:color="auto"/>
              <w:right w:val="single" w:sz="4" w:space="0" w:color="auto"/>
            </w:tcBorders>
            <w:noWrap/>
            <w:vAlign w:val="center"/>
          </w:tcPr>
          <w:p w14:paraId="70A7AE60" w14:textId="77777777" w:rsidR="00531693" w:rsidRDefault="00000000">
            <w:pPr>
              <w:widowControl/>
              <w:jc w:val="left"/>
              <w:rPr>
                <w:color w:val="000000"/>
                <w:kern w:val="0"/>
                <w:sz w:val="22"/>
                <w:szCs w:val="22"/>
              </w:rPr>
            </w:pPr>
            <w:r>
              <w:rPr>
                <w:color w:val="000000"/>
                <w:kern w:val="0"/>
                <w:sz w:val="22"/>
                <w:szCs w:val="22"/>
              </w:rPr>
              <w:t>向关联人提供劳务</w:t>
            </w:r>
          </w:p>
        </w:tc>
        <w:tc>
          <w:tcPr>
            <w:tcW w:w="3118" w:type="dxa"/>
            <w:tcBorders>
              <w:top w:val="nil"/>
              <w:left w:val="nil"/>
              <w:bottom w:val="single" w:sz="4" w:space="0" w:color="auto"/>
              <w:right w:val="single" w:sz="4" w:space="0" w:color="auto"/>
            </w:tcBorders>
            <w:noWrap/>
            <w:vAlign w:val="center"/>
          </w:tcPr>
          <w:p w14:paraId="6BD97D80" w14:textId="77777777" w:rsidR="00531693" w:rsidRDefault="00000000">
            <w:pPr>
              <w:widowControl/>
              <w:jc w:val="left"/>
              <w:rPr>
                <w:color w:val="000000"/>
                <w:kern w:val="0"/>
                <w:sz w:val="22"/>
                <w:szCs w:val="22"/>
              </w:rPr>
            </w:pPr>
            <w:r>
              <w:rPr>
                <w:color w:val="000000"/>
                <w:kern w:val="0"/>
                <w:sz w:val="22"/>
                <w:szCs w:val="22"/>
              </w:rPr>
              <w:t>提供工业废物处理服务、运输、工程和技术咨询服务等</w:t>
            </w:r>
          </w:p>
        </w:tc>
        <w:tc>
          <w:tcPr>
            <w:tcW w:w="1985" w:type="dxa"/>
            <w:tcBorders>
              <w:top w:val="nil"/>
              <w:left w:val="nil"/>
              <w:bottom w:val="single" w:sz="4" w:space="0" w:color="auto"/>
              <w:right w:val="single" w:sz="4" w:space="0" w:color="auto"/>
            </w:tcBorders>
            <w:noWrap/>
            <w:vAlign w:val="center"/>
          </w:tcPr>
          <w:p w14:paraId="11B0959C" w14:textId="77777777" w:rsidR="00531693" w:rsidRDefault="00000000">
            <w:pPr>
              <w:widowControl/>
              <w:jc w:val="right"/>
              <w:rPr>
                <w:color w:val="000000"/>
                <w:kern w:val="0"/>
                <w:sz w:val="22"/>
                <w:szCs w:val="22"/>
              </w:rPr>
            </w:pPr>
            <w:r>
              <w:rPr>
                <w:color w:val="000000"/>
                <w:kern w:val="0"/>
                <w:sz w:val="22"/>
                <w:szCs w:val="22"/>
              </w:rPr>
              <w:t>1,000</w:t>
            </w:r>
          </w:p>
        </w:tc>
      </w:tr>
      <w:tr w:rsidR="00531693" w14:paraId="73F95767" w14:textId="77777777">
        <w:trPr>
          <w:trHeight w:val="20"/>
        </w:trPr>
        <w:tc>
          <w:tcPr>
            <w:tcW w:w="846" w:type="dxa"/>
            <w:tcBorders>
              <w:top w:val="nil"/>
              <w:left w:val="single" w:sz="4" w:space="0" w:color="auto"/>
              <w:bottom w:val="single" w:sz="4" w:space="0" w:color="auto"/>
              <w:right w:val="single" w:sz="4" w:space="0" w:color="auto"/>
            </w:tcBorders>
            <w:noWrap/>
            <w:vAlign w:val="center"/>
          </w:tcPr>
          <w:p w14:paraId="3D16D822" w14:textId="77777777" w:rsidR="00531693" w:rsidRDefault="00000000">
            <w:pPr>
              <w:widowControl/>
              <w:jc w:val="center"/>
              <w:rPr>
                <w:color w:val="000000"/>
                <w:kern w:val="0"/>
                <w:sz w:val="22"/>
                <w:szCs w:val="22"/>
              </w:rPr>
            </w:pPr>
            <w:r>
              <w:rPr>
                <w:color w:val="000000"/>
                <w:kern w:val="0"/>
                <w:sz w:val="22"/>
                <w:szCs w:val="22"/>
              </w:rPr>
              <w:t>3</w:t>
            </w:r>
          </w:p>
        </w:tc>
        <w:tc>
          <w:tcPr>
            <w:tcW w:w="2410" w:type="dxa"/>
            <w:tcBorders>
              <w:top w:val="nil"/>
              <w:left w:val="nil"/>
              <w:bottom w:val="single" w:sz="4" w:space="0" w:color="auto"/>
              <w:right w:val="single" w:sz="4" w:space="0" w:color="auto"/>
            </w:tcBorders>
            <w:noWrap/>
            <w:vAlign w:val="center"/>
          </w:tcPr>
          <w:p w14:paraId="306E7655" w14:textId="77777777" w:rsidR="00531693" w:rsidRDefault="00000000">
            <w:pPr>
              <w:widowControl/>
              <w:jc w:val="left"/>
              <w:rPr>
                <w:color w:val="000000"/>
                <w:kern w:val="0"/>
                <w:sz w:val="22"/>
                <w:szCs w:val="22"/>
              </w:rPr>
            </w:pPr>
            <w:r>
              <w:rPr>
                <w:color w:val="000000"/>
                <w:kern w:val="0"/>
                <w:sz w:val="22"/>
                <w:szCs w:val="22"/>
              </w:rPr>
              <w:t>接受或购买关联人提供的劳务、商品</w:t>
            </w:r>
          </w:p>
        </w:tc>
        <w:tc>
          <w:tcPr>
            <w:tcW w:w="3118" w:type="dxa"/>
            <w:tcBorders>
              <w:top w:val="nil"/>
              <w:left w:val="nil"/>
              <w:bottom w:val="single" w:sz="4" w:space="0" w:color="auto"/>
              <w:right w:val="single" w:sz="4" w:space="0" w:color="auto"/>
            </w:tcBorders>
            <w:noWrap/>
            <w:vAlign w:val="center"/>
          </w:tcPr>
          <w:p w14:paraId="18BE5686" w14:textId="77777777" w:rsidR="00531693" w:rsidRDefault="00000000">
            <w:pPr>
              <w:widowControl/>
              <w:jc w:val="left"/>
              <w:rPr>
                <w:color w:val="000000"/>
                <w:kern w:val="0"/>
                <w:sz w:val="22"/>
                <w:szCs w:val="22"/>
              </w:rPr>
            </w:pPr>
            <w:r>
              <w:rPr>
                <w:color w:val="000000"/>
                <w:kern w:val="0"/>
                <w:sz w:val="22"/>
                <w:szCs w:val="22"/>
              </w:rPr>
              <w:t>接受劳务和购买原料、商品等</w:t>
            </w:r>
          </w:p>
        </w:tc>
        <w:tc>
          <w:tcPr>
            <w:tcW w:w="1985" w:type="dxa"/>
            <w:tcBorders>
              <w:top w:val="nil"/>
              <w:left w:val="nil"/>
              <w:bottom w:val="single" w:sz="4" w:space="0" w:color="auto"/>
              <w:right w:val="single" w:sz="4" w:space="0" w:color="auto"/>
            </w:tcBorders>
            <w:noWrap/>
            <w:vAlign w:val="center"/>
          </w:tcPr>
          <w:p w14:paraId="590A1CA2" w14:textId="77777777" w:rsidR="00531693" w:rsidRDefault="00000000">
            <w:pPr>
              <w:widowControl/>
              <w:jc w:val="right"/>
              <w:rPr>
                <w:color w:val="000000"/>
                <w:kern w:val="0"/>
                <w:sz w:val="22"/>
                <w:szCs w:val="22"/>
              </w:rPr>
            </w:pPr>
            <w:r>
              <w:rPr>
                <w:color w:val="000000"/>
                <w:kern w:val="0"/>
                <w:sz w:val="22"/>
                <w:szCs w:val="22"/>
              </w:rPr>
              <w:t>10,000</w:t>
            </w:r>
          </w:p>
        </w:tc>
      </w:tr>
      <w:tr w:rsidR="00531693" w14:paraId="377CAFED" w14:textId="77777777">
        <w:trPr>
          <w:trHeight w:val="20"/>
        </w:trPr>
        <w:tc>
          <w:tcPr>
            <w:tcW w:w="6374" w:type="dxa"/>
            <w:gridSpan w:val="3"/>
            <w:tcBorders>
              <w:top w:val="single" w:sz="4" w:space="0" w:color="auto"/>
              <w:left w:val="single" w:sz="4" w:space="0" w:color="auto"/>
              <w:bottom w:val="single" w:sz="4" w:space="0" w:color="auto"/>
              <w:right w:val="single" w:sz="4" w:space="0" w:color="auto"/>
            </w:tcBorders>
            <w:noWrap/>
            <w:vAlign w:val="center"/>
          </w:tcPr>
          <w:p w14:paraId="3F9B017B" w14:textId="77777777" w:rsidR="00531693" w:rsidRDefault="00000000">
            <w:pPr>
              <w:widowControl/>
              <w:jc w:val="center"/>
              <w:rPr>
                <w:color w:val="000000"/>
                <w:kern w:val="0"/>
                <w:sz w:val="22"/>
                <w:szCs w:val="22"/>
              </w:rPr>
            </w:pPr>
            <w:r>
              <w:rPr>
                <w:color w:val="000000"/>
                <w:kern w:val="0"/>
                <w:sz w:val="22"/>
                <w:szCs w:val="22"/>
              </w:rPr>
              <w:t>合计</w:t>
            </w:r>
          </w:p>
        </w:tc>
        <w:tc>
          <w:tcPr>
            <w:tcW w:w="1985" w:type="dxa"/>
            <w:tcBorders>
              <w:top w:val="nil"/>
              <w:left w:val="nil"/>
              <w:bottom w:val="single" w:sz="4" w:space="0" w:color="auto"/>
              <w:right w:val="single" w:sz="4" w:space="0" w:color="auto"/>
            </w:tcBorders>
            <w:noWrap/>
            <w:vAlign w:val="center"/>
          </w:tcPr>
          <w:p w14:paraId="38949749" w14:textId="77777777" w:rsidR="00531693" w:rsidRDefault="00000000">
            <w:pPr>
              <w:widowControl/>
              <w:jc w:val="right"/>
              <w:rPr>
                <w:color w:val="000000"/>
                <w:kern w:val="0"/>
                <w:sz w:val="22"/>
                <w:szCs w:val="22"/>
              </w:rPr>
            </w:pPr>
            <w:r>
              <w:rPr>
                <w:color w:val="000000"/>
                <w:kern w:val="0"/>
                <w:sz w:val="22"/>
                <w:szCs w:val="22"/>
              </w:rPr>
              <w:t>15,000</w:t>
            </w:r>
          </w:p>
        </w:tc>
      </w:tr>
    </w:tbl>
    <w:bookmarkEnd w:id="1"/>
    <w:bookmarkEnd w:id="2"/>
    <w:p w14:paraId="4575D9DC" w14:textId="77777777" w:rsidR="00531693" w:rsidRDefault="00000000">
      <w:pPr>
        <w:spacing w:beforeLines="50" w:before="156" w:afterLines="50" w:after="156" w:line="420" w:lineRule="exact"/>
        <w:ind w:firstLineChars="200" w:firstLine="482"/>
        <w:outlineLvl w:val="0"/>
        <w:rPr>
          <w:b/>
          <w:sz w:val="24"/>
          <w:szCs w:val="32"/>
        </w:rPr>
      </w:pPr>
      <w:r>
        <w:rPr>
          <w:b/>
          <w:sz w:val="24"/>
          <w:szCs w:val="32"/>
        </w:rPr>
        <w:t>二、关联</w:t>
      </w:r>
      <w:r>
        <w:rPr>
          <w:rFonts w:hint="eastAsia"/>
          <w:b/>
          <w:sz w:val="24"/>
          <w:szCs w:val="32"/>
        </w:rPr>
        <w:t>交易进展</w:t>
      </w:r>
      <w:r>
        <w:rPr>
          <w:b/>
          <w:sz w:val="24"/>
          <w:szCs w:val="32"/>
        </w:rPr>
        <w:t>情况</w:t>
      </w:r>
    </w:p>
    <w:p w14:paraId="5533A0B1"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2026</w:t>
      </w:r>
      <w:r>
        <w:rPr>
          <w:rFonts w:hint="eastAsia"/>
          <w:sz w:val="24"/>
        </w:rPr>
        <w:t>年</w:t>
      </w:r>
      <w:r>
        <w:rPr>
          <w:rFonts w:hint="eastAsia"/>
          <w:sz w:val="24"/>
        </w:rPr>
        <w:t>3</w:t>
      </w:r>
      <w:r>
        <w:rPr>
          <w:rFonts w:hint="eastAsia"/>
          <w:sz w:val="24"/>
        </w:rPr>
        <w:t>月</w:t>
      </w:r>
      <w:r>
        <w:rPr>
          <w:rFonts w:hint="eastAsia"/>
          <w:sz w:val="24"/>
        </w:rPr>
        <w:t>27</w:t>
      </w:r>
      <w:r>
        <w:rPr>
          <w:rFonts w:hint="eastAsia"/>
          <w:sz w:val="24"/>
        </w:rPr>
        <w:t>日，公司第八届董事会第十四次会议审议通过了《关于签订</w:t>
      </w:r>
      <w:r>
        <w:rPr>
          <w:rFonts w:hint="eastAsia"/>
          <w:sz w:val="24"/>
        </w:rPr>
        <w:t>2026</w:t>
      </w:r>
      <w:r>
        <w:rPr>
          <w:rFonts w:hint="eastAsia"/>
          <w:sz w:val="24"/>
        </w:rPr>
        <w:lastRenderedPageBreak/>
        <w:t>年度框架协议暨关联交易进展的议案》，为进一步发挥协同优势，同意公司在</w:t>
      </w:r>
      <w:r>
        <w:rPr>
          <w:rFonts w:hint="eastAsia"/>
          <w:sz w:val="24"/>
        </w:rPr>
        <w:t>2026</w:t>
      </w:r>
      <w:r>
        <w:rPr>
          <w:rFonts w:hint="eastAsia"/>
          <w:sz w:val="24"/>
        </w:rPr>
        <w:t>年度日常关联交易预计的交易类别、额度范围内，与广晟控股集团签订《产品销售框架协议》《服务框架协议》及《原材料采购框架协议》，各项协议的上限金额分别为不超过</w:t>
      </w:r>
      <w:r>
        <w:rPr>
          <w:rFonts w:hint="eastAsia"/>
          <w:sz w:val="24"/>
        </w:rPr>
        <w:t>4,000</w:t>
      </w:r>
      <w:r>
        <w:rPr>
          <w:rFonts w:hint="eastAsia"/>
          <w:sz w:val="24"/>
        </w:rPr>
        <w:t>万元、</w:t>
      </w:r>
      <w:r>
        <w:rPr>
          <w:rFonts w:hint="eastAsia"/>
          <w:sz w:val="24"/>
        </w:rPr>
        <w:t>1,000</w:t>
      </w:r>
      <w:r>
        <w:rPr>
          <w:rFonts w:hint="eastAsia"/>
          <w:sz w:val="24"/>
        </w:rPr>
        <w:t>万元及</w:t>
      </w:r>
      <w:r>
        <w:rPr>
          <w:rFonts w:hint="eastAsia"/>
          <w:sz w:val="24"/>
        </w:rPr>
        <w:t>10,000</w:t>
      </w:r>
      <w:r>
        <w:rPr>
          <w:rFonts w:hint="eastAsia"/>
          <w:sz w:val="24"/>
        </w:rPr>
        <w:t>万元。上述议案已经公司第八届董事会独立董事专门会议第四次会议审议通过并出具审核意见。</w:t>
      </w:r>
    </w:p>
    <w:p w14:paraId="38A882FD" w14:textId="77777777" w:rsidR="00531693" w:rsidRDefault="00000000">
      <w:pPr>
        <w:spacing w:beforeLines="50" w:before="156" w:afterLines="50" w:after="156" w:line="420" w:lineRule="exact"/>
        <w:ind w:firstLineChars="200" w:firstLine="482"/>
        <w:outlineLvl w:val="0"/>
        <w:rPr>
          <w:b/>
          <w:sz w:val="24"/>
          <w:szCs w:val="32"/>
        </w:rPr>
      </w:pPr>
      <w:r>
        <w:rPr>
          <w:rFonts w:hint="eastAsia"/>
          <w:b/>
          <w:sz w:val="24"/>
          <w:szCs w:val="32"/>
        </w:rPr>
        <w:t>三、关联方基本情况</w:t>
      </w:r>
    </w:p>
    <w:p w14:paraId="33B5F1D6"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名称：广东省广晟控股集团有限公司</w:t>
      </w:r>
    </w:p>
    <w:p w14:paraId="660B74FC"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类型：有限责任公司</w:t>
      </w:r>
    </w:p>
    <w:p w14:paraId="6093C402"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注册地：广东省广州市天河区珠江西路</w:t>
      </w:r>
      <w:r>
        <w:rPr>
          <w:rFonts w:hint="eastAsia"/>
          <w:sz w:val="24"/>
        </w:rPr>
        <w:t>17</w:t>
      </w:r>
      <w:r>
        <w:rPr>
          <w:rFonts w:hint="eastAsia"/>
          <w:sz w:val="24"/>
        </w:rPr>
        <w:t>号广晟国际大厦</w:t>
      </w:r>
      <w:r>
        <w:rPr>
          <w:rFonts w:hint="eastAsia"/>
          <w:sz w:val="24"/>
        </w:rPr>
        <w:t>50-58</w:t>
      </w:r>
      <w:r>
        <w:rPr>
          <w:rFonts w:hint="eastAsia"/>
          <w:sz w:val="24"/>
        </w:rPr>
        <w:t>楼</w:t>
      </w:r>
    </w:p>
    <w:p w14:paraId="1FD3601D"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法定代表人：吕永钟</w:t>
      </w:r>
    </w:p>
    <w:p w14:paraId="0B1AF4C8"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注册资本：</w:t>
      </w:r>
      <w:r>
        <w:rPr>
          <w:rFonts w:hint="eastAsia"/>
          <w:sz w:val="24"/>
        </w:rPr>
        <w:t>1,000,000</w:t>
      </w:r>
      <w:r>
        <w:rPr>
          <w:rFonts w:hint="eastAsia"/>
          <w:sz w:val="24"/>
        </w:rPr>
        <w:t>万元人民币</w:t>
      </w:r>
    </w:p>
    <w:p w14:paraId="242D51A2"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经营范围：企业总部管理；以自有资金从事投资活动；自有资金投资的资产管理服务；住房租赁；非居住房地产租赁；信息技术咨询服务；信息系统集成服务；软件开发；业务培训（不含教育培训、职业技能培训等需取得许可的培训）；采购代理服务。</w:t>
      </w:r>
    </w:p>
    <w:p w14:paraId="79A1776F"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股权结构：广东省人民政府持有广晟控股集团</w:t>
      </w:r>
      <w:r>
        <w:rPr>
          <w:rFonts w:hint="eastAsia"/>
          <w:sz w:val="24"/>
        </w:rPr>
        <w:t>90%</w:t>
      </w:r>
      <w:r>
        <w:rPr>
          <w:rFonts w:hint="eastAsia"/>
          <w:sz w:val="24"/>
        </w:rPr>
        <w:t>股权，广东省财政厅持有广晟控股集团</w:t>
      </w:r>
      <w:r>
        <w:rPr>
          <w:rFonts w:hint="eastAsia"/>
          <w:sz w:val="24"/>
        </w:rPr>
        <w:t>10%</w:t>
      </w:r>
      <w:r>
        <w:rPr>
          <w:rFonts w:hint="eastAsia"/>
          <w:sz w:val="24"/>
        </w:rPr>
        <w:t>股权。</w:t>
      </w:r>
    </w:p>
    <w:p w14:paraId="426FD762"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历史沿革及主要业务：广晟控股集团成立于</w:t>
      </w:r>
      <w:r>
        <w:rPr>
          <w:rFonts w:hint="eastAsia"/>
          <w:sz w:val="24"/>
        </w:rPr>
        <w:t>1999</w:t>
      </w:r>
      <w:r>
        <w:rPr>
          <w:rFonts w:hint="eastAsia"/>
          <w:sz w:val="24"/>
        </w:rPr>
        <w:t>年，注册资本金</w:t>
      </w:r>
      <w:r>
        <w:rPr>
          <w:rFonts w:hint="eastAsia"/>
          <w:sz w:val="24"/>
        </w:rPr>
        <w:t>100</w:t>
      </w:r>
      <w:r>
        <w:rPr>
          <w:rFonts w:hint="eastAsia"/>
          <w:sz w:val="24"/>
        </w:rPr>
        <w:t>亿元，是广东省属国有独资重点企业。广晟控股集团是以矿产资源、电子信息为主业，环保、工程地产、金融协同发展的大型跨国企业集团，入选国务院国资委国企改革“双百企业”名单。</w:t>
      </w:r>
    </w:p>
    <w:p w14:paraId="57A6A065"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财务数据：截至</w:t>
      </w:r>
      <w:r>
        <w:rPr>
          <w:rFonts w:hint="eastAsia"/>
          <w:sz w:val="24"/>
        </w:rPr>
        <w:t>2024</w:t>
      </w:r>
      <w:r>
        <w:rPr>
          <w:rFonts w:hint="eastAsia"/>
          <w:sz w:val="24"/>
        </w:rPr>
        <w:t>年</w:t>
      </w:r>
      <w:r>
        <w:rPr>
          <w:rFonts w:hint="eastAsia"/>
          <w:sz w:val="24"/>
        </w:rPr>
        <w:t>12</w:t>
      </w:r>
      <w:r>
        <w:rPr>
          <w:rFonts w:hint="eastAsia"/>
          <w:sz w:val="24"/>
        </w:rPr>
        <w:t>月</w:t>
      </w:r>
      <w:r>
        <w:rPr>
          <w:rFonts w:hint="eastAsia"/>
          <w:sz w:val="24"/>
        </w:rPr>
        <w:t>31</w:t>
      </w:r>
      <w:r>
        <w:rPr>
          <w:rFonts w:hint="eastAsia"/>
          <w:sz w:val="24"/>
        </w:rPr>
        <w:t>日，广晟控股集团经审计总资产为</w:t>
      </w:r>
      <w:r>
        <w:rPr>
          <w:rFonts w:hint="eastAsia"/>
          <w:sz w:val="24"/>
        </w:rPr>
        <w:t>1,786.95</w:t>
      </w:r>
      <w:r>
        <w:rPr>
          <w:rFonts w:hint="eastAsia"/>
          <w:sz w:val="24"/>
        </w:rPr>
        <w:t>亿元，净资产为</w:t>
      </w:r>
      <w:r>
        <w:rPr>
          <w:rFonts w:hint="eastAsia"/>
          <w:sz w:val="24"/>
        </w:rPr>
        <w:t>573.73</w:t>
      </w:r>
      <w:r>
        <w:rPr>
          <w:rFonts w:hint="eastAsia"/>
          <w:sz w:val="24"/>
        </w:rPr>
        <w:t>亿元；</w:t>
      </w:r>
      <w:r>
        <w:rPr>
          <w:rFonts w:hint="eastAsia"/>
          <w:sz w:val="24"/>
        </w:rPr>
        <w:t>2024</w:t>
      </w:r>
      <w:r>
        <w:rPr>
          <w:rFonts w:hint="eastAsia"/>
          <w:sz w:val="24"/>
        </w:rPr>
        <w:t>年</w:t>
      </w:r>
      <w:r>
        <w:rPr>
          <w:rFonts w:hint="eastAsia"/>
          <w:sz w:val="24"/>
        </w:rPr>
        <w:t>1-12</w:t>
      </w:r>
      <w:r>
        <w:rPr>
          <w:rFonts w:hint="eastAsia"/>
          <w:sz w:val="24"/>
        </w:rPr>
        <w:t>月，广晟控股集团经审计营业总收入为</w:t>
      </w:r>
      <w:r>
        <w:rPr>
          <w:rFonts w:hint="eastAsia"/>
          <w:sz w:val="24"/>
        </w:rPr>
        <w:t>1,027.45</w:t>
      </w:r>
      <w:r>
        <w:rPr>
          <w:rFonts w:hint="eastAsia"/>
          <w:sz w:val="24"/>
        </w:rPr>
        <w:t>亿元，净利润为</w:t>
      </w:r>
      <w:r>
        <w:rPr>
          <w:rFonts w:hint="eastAsia"/>
          <w:sz w:val="24"/>
        </w:rPr>
        <w:t>29.78</w:t>
      </w:r>
      <w:r>
        <w:rPr>
          <w:rFonts w:hint="eastAsia"/>
          <w:sz w:val="24"/>
        </w:rPr>
        <w:t>亿元。</w:t>
      </w:r>
    </w:p>
    <w:p w14:paraId="2E641BB5"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截至</w:t>
      </w:r>
      <w:r>
        <w:rPr>
          <w:rFonts w:hint="eastAsia"/>
          <w:sz w:val="24"/>
        </w:rPr>
        <w:t>2025</w:t>
      </w:r>
      <w:r>
        <w:rPr>
          <w:rFonts w:hint="eastAsia"/>
          <w:sz w:val="24"/>
        </w:rPr>
        <w:t>年</w:t>
      </w:r>
      <w:r>
        <w:rPr>
          <w:rFonts w:hint="eastAsia"/>
          <w:sz w:val="24"/>
        </w:rPr>
        <w:t>9</w:t>
      </w:r>
      <w:r>
        <w:rPr>
          <w:rFonts w:hint="eastAsia"/>
          <w:sz w:val="24"/>
        </w:rPr>
        <w:t>月</w:t>
      </w:r>
      <w:r>
        <w:rPr>
          <w:rFonts w:hint="eastAsia"/>
          <w:sz w:val="24"/>
        </w:rPr>
        <w:t>30</w:t>
      </w:r>
      <w:r>
        <w:rPr>
          <w:rFonts w:hint="eastAsia"/>
          <w:sz w:val="24"/>
        </w:rPr>
        <w:t>日，广晟控股集团未经审计总资产为</w:t>
      </w:r>
      <w:r>
        <w:rPr>
          <w:rFonts w:hint="eastAsia"/>
          <w:sz w:val="24"/>
        </w:rPr>
        <w:t>1,834.85</w:t>
      </w:r>
      <w:r>
        <w:rPr>
          <w:rFonts w:hint="eastAsia"/>
          <w:sz w:val="24"/>
        </w:rPr>
        <w:t>亿元，净资产为</w:t>
      </w:r>
      <w:r>
        <w:rPr>
          <w:rFonts w:hint="eastAsia"/>
          <w:sz w:val="24"/>
        </w:rPr>
        <w:t>586.38</w:t>
      </w:r>
      <w:r>
        <w:rPr>
          <w:rFonts w:hint="eastAsia"/>
          <w:sz w:val="24"/>
        </w:rPr>
        <w:t>亿元；</w:t>
      </w:r>
      <w:r>
        <w:rPr>
          <w:rFonts w:hint="eastAsia"/>
          <w:sz w:val="24"/>
        </w:rPr>
        <w:t>2025</w:t>
      </w:r>
      <w:r>
        <w:rPr>
          <w:rFonts w:hint="eastAsia"/>
          <w:sz w:val="24"/>
        </w:rPr>
        <w:t>年</w:t>
      </w:r>
      <w:r>
        <w:rPr>
          <w:rFonts w:hint="eastAsia"/>
          <w:sz w:val="24"/>
        </w:rPr>
        <w:t>1-9</w:t>
      </w:r>
      <w:r>
        <w:rPr>
          <w:rFonts w:hint="eastAsia"/>
          <w:sz w:val="24"/>
        </w:rPr>
        <w:t>月，广晟控股集团未经审计营业总收入为</w:t>
      </w:r>
      <w:r>
        <w:rPr>
          <w:rFonts w:hint="eastAsia"/>
          <w:sz w:val="24"/>
        </w:rPr>
        <w:t>803.90</w:t>
      </w:r>
      <w:r>
        <w:rPr>
          <w:rFonts w:hint="eastAsia"/>
          <w:sz w:val="24"/>
        </w:rPr>
        <w:t>亿元，</w:t>
      </w:r>
      <w:r>
        <w:rPr>
          <w:rFonts w:hint="eastAsia"/>
          <w:sz w:val="24"/>
        </w:rPr>
        <w:lastRenderedPageBreak/>
        <w:t>净利润为</w:t>
      </w:r>
      <w:r>
        <w:rPr>
          <w:rFonts w:hint="eastAsia"/>
          <w:sz w:val="24"/>
        </w:rPr>
        <w:t>24.40</w:t>
      </w:r>
      <w:r>
        <w:rPr>
          <w:rFonts w:hint="eastAsia"/>
          <w:sz w:val="24"/>
        </w:rPr>
        <w:t>亿元。</w:t>
      </w:r>
    </w:p>
    <w:p w14:paraId="5187C080"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关联关系：广晟控股集团及其下属子公司合计持有公司股份</w:t>
      </w:r>
      <w:r>
        <w:rPr>
          <w:rFonts w:hint="eastAsia"/>
          <w:sz w:val="24"/>
        </w:rPr>
        <w:t>291,458,228</w:t>
      </w:r>
      <w:r>
        <w:rPr>
          <w:rFonts w:hint="eastAsia"/>
          <w:sz w:val="24"/>
        </w:rPr>
        <w:t>股，占公司总股本的</w:t>
      </w:r>
      <w:r>
        <w:rPr>
          <w:rFonts w:hint="eastAsia"/>
          <w:sz w:val="24"/>
        </w:rPr>
        <w:t>26.37%</w:t>
      </w:r>
      <w:r>
        <w:rPr>
          <w:rFonts w:hint="eastAsia"/>
          <w:sz w:val="24"/>
        </w:rPr>
        <w:t>，为公司的控股股东。根据《深圳证券交易所股票上市规则》的相关规定，广晟控股集团、具身智能为公司的关联法人，本次以公开摘牌方式参与具身智能增资扩股事项构成关联交易。</w:t>
      </w:r>
    </w:p>
    <w:p w14:paraId="5FF0CEDB"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经在“全国法院被执行人信息查询平台”查询，广晟控股集团未被列入全国法院失信被执行人名单。</w:t>
      </w:r>
    </w:p>
    <w:p w14:paraId="343C9807" w14:textId="77777777" w:rsidR="00531693" w:rsidRDefault="00000000">
      <w:pPr>
        <w:spacing w:beforeLines="50" w:before="156" w:afterLines="50" w:after="156" w:line="420" w:lineRule="exact"/>
        <w:ind w:firstLineChars="200" w:firstLine="482"/>
        <w:outlineLvl w:val="0"/>
        <w:rPr>
          <w:b/>
          <w:sz w:val="24"/>
          <w:szCs w:val="32"/>
        </w:rPr>
      </w:pPr>
      <w:r>
        <w:rPr>
          <w:rFonts w:hint="eastAsia"/>
          <w:b/>
          <w:sz w:val="24"/>
          <w:szCs w:val="32"/>
        </w:rPr>
        <w:t>四</w:t>
      </w:r>
      <w:r>
        <w:rPr>
          <w:b/>
          <w:sz w:val="24"/>
          <w:szCs w:val="32"/>
        </w:rPr>
        <w:t>、</w:t>
      </w:r>
      <w:r>
        <w:rPr>
          <w:rFonts w:hint="eastAsia"/>
          <w:b/>
          <w:sz w:val="24"/>
          <w:szCs w:val="32"/>
        </w:rPr>
        <w:t>框架协议主要内容</w:t>
      </w:r>
    </w:p>
    <w:p w14:paraId="13A110AC"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甲方：广东省广晟控股集团有限公司</w:t>
      </w:r>
    </w:p>
    <w:p w14:paraId="25095EF1"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乙方：东江环保股份有限公司</w:t>
      </w:r>
    </w:p>
    <w:p w14:paraId="738C0FD3"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（一）《产品销售框架协议》</w:t>
      </w:r>
    </w:p>
    <w:p w14:paraId="5F480E68"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1</w:t>
      </w:r>
      <w:r>
        <w:rPr>
          <w:rFonts w:hint="eastAsia"/>
          <w:sz w:val="24"/>
        </w:rPr>
        <w:t>、交易种类</w:t>
      </w:r>
    </w:p>
    <w:p w14:paraId="6A5D9641"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w:t>
      </w:r>
      <w:r>
        <w:rPr>
          <w:rFonts w:hint="eastAsia"/>
          <w:sz w:val="24"/>
        </w:rPr>
        <w:t>1</w:t>
      </w:r>
      <w:r>
        <w:rPr>
          <w:rFonts w:hint="eastAsia"/>
          <w:sz w:val="24"/>
        </w:rPr>
        <w:t>）本协议项下约定的交易类型为：乙方向甲方销售资源化产品等，具体事宜按照甲乙双方不同项目的需求，以根据本协议的条款及条件正式单独签订的各合同为准。</w:t>
      </w:r>
    </w:p>
    <w:p w14:paraId="235A19BA"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w:t>
      </w:r>
      <w:r>
        <w:rPr>
          <w:rFonts w:hint="eastAsia"/>
          <w:sz w:val="24"/>
        </w:rPr>
        <w:t>2</w:t>
      </w:r>
      <w:r>
        <w:rPr>
          <w:rFonts w:hint="eastAsia"/>
          <w:sz w:val="24"/>
        </w:rPr>
        <w:t>）如上述交易各类或范围发生变化，在符合所有适用合规要求的前提下，双方可签署补充协议对上述约定进行修改。</w:t>
      </w:r>
    </w:p>
    <w:p w14:paraId="5299AD71"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2</w:t>
      </w:r>
      <w:r>
        <w:rPr>
          <w:rFonts w:hint="eastAsia"/>
          <w:sz w:val="24"/>
        </w:rPr>
        <w:t>、交易原则</w:t>
      </w:r>
    </w:p>
    <w:p w14:paraId="6C9F9CB8"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本协议的签订，不影响双方各自主选择交易对象，或与第三方进行交易。</w:t>
      </w:r>
    </w:p>
    <w:p w14:paraId="424C226C"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3</w:t>
      </w:r>
      <w:r>
        <w:rPr>
          <w:rFonts w:hint="eastAsia"/>
          <w:sz w:val="24"/>
        </w:rPr>
        <w:t>、交易定价</w:t>
      </w:r>
    </w:p>
    <w:p w14:paraId="7DD17281" w14:textId="0C7DE8A1"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双方在本框架协议项下所签订的协议应按一般商业条款进行，其中（</w:t>
      </w:r>
      <w:r>
        <w:rPr>
          <w:rFonts w:hint="eastAsia"/>
          <w:sz w:val="24"/>
        </w:rPr>
        <w:t>i</w:t>
      </w:r>
      <w:r>
        <w:rPr>
          <w:rFonts w:hint="eastAsia"/>
          <w:sz w:val="24"/>
        </w:rPr>
        <w:t>）应根据乙方所采纳的定价基准及╱或内部监控措施按不逊于乙方向其独立第三方提供或取得的当前市场条款进行；（</w:t>
      </w:r>
      <w:r>
        <w:rPr>
          <w:rFonts w:hint="eastAsia"/>
          <w:sz w:val="24"/>
        </w:rPr>
        <w:t>ii</w:t>
      </w:r>
      <w:r>
        <w:rPr>
          <w:rFonts w:hint="eastAsia"/>
          <w:sz w:val="24"/>
        </w:rPr>
        <w:t>）应于乙方日常及一般业务过程中经公平磋商后进行；及（</w:t>
      </w:r>
      <w:r>
        <w:rPr>
          <w:rFonts w:hint="eastAsia"/>
          <w:sz w:val="24"/>
        </w:rPr>
        <w:t>iii</w:t>
      </w:r>
      <w:r>
        <w:rPr>
          <w:rFonts w:hint="eastAsia"/>
          <w:sz w:val="24"/>
        </w:rPr>
        <w:t>）总交易金额不应超过第三款所列的合同总金额。原则上根据本协议项下各合同的条款（包括应付的金额）须按项目的特定需求，基于公平合理</w:t>
      </w:r>
      <w:r>
        <w:rPr>
          <w:rFonts w:hint="eastAsia"/>
          <w:sz w:val="24"/>
        </w:rPr>
        <w:lastRenderedPageBreak/>
        <w:t>的原则，综合考虑包括但不限于甲方所需产品的种类、数量、金属含量（如适用）、市场上同类型产品价格等因素而厘定，原则上不应低于乙方向其他独立第三方提供同类型产品的价格，具体条款皆为甲乙双方经公平磋商后协商一致同意后确定。</w:t>
      </w:r>
    </w:p>
    <w:p w14:paraId="6722C6EE"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4</w:t>
      </w:r>
      <w:r>
        <w:rPr>
          <w:rFonts w:hint="eastAsia"/>
          <w:sz w:val="24"/>
        </w:rPr>
        <w:t>、交易额度</w:t>
      </w:r>
    </w:p>
    <w:p w14:paraId="3C369345"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合同有效期合同总金额预计不超过人民币</w:t>
      </w:r>
      <w:r>
        <w:rPr>
          <w:rFonts w:hint="eastAsia"/>
          <w:sz w:val="24"/>
        </w:rPr>
        <w:t>4,000</w:t>
      </w:r>
      <w:r>
        <w:rPr>
          <w:rFonts w:hint="eastAsia"/>
          <w:sz w:val="24"/>
        </w:rPr>
        <w:t>万元。</w:t>
      </w:r>
    </w:p>
    <w:p w14:paraId="14BC8CBE"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5</w:t>
      </w:r>
      <w:r>
        <w:rPr>
          <w:rFonts w:hint="eastAsia"/>
          <w:sz w:val="24"/>
        </w:rPr>
        <w:t>、支付方式及其他</w:t>
      </w:r>
    </w:p>
    <w:p w14:paraId="2070243A"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相关费用计算方式、支付方式及其他安排由双方另行商定。</w:t>
      </w:r>
    </w:p>
    <w:p w14:paraId="092A7853"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6</w:t>
      </w:r>
      <w:r>
        <w:rPr>
          <w:rFonts w:hint="eastAsia"/>
          <w:sz w:val="24"/>
        </w:rPr>
        <w:t>、合同有效期</w:t>
      </w:r>
    </w:p>
    <w:p w14:paraId="3D56C4EB"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本框架协议有效期自合同生效之日起至</w:t>
      </w:r>
      <w:r>
        <w:rPr>
          <w:rFonts w:hint="eastAsia"/>
          <w:sz w:val="24"/>
        </w:rPr>
        <w:t>2026</w:t>
      </w:r>
      <w:r>
        <w:rPr>
          <w:rFonts w:hint="eastAsia"/>
          <w:sz w:val="24"/>
        </w:rPr>
        <w:t>年</w:t>
      </w:r>
      <w:r>
        <w:rPr>
          <w:rFonts w:hint="eastAsia"/>
          <w:sz w:val="24"/>
        </w:rPr>
        <w:t>12</w:t>
      </w:r>
      <w:r>
        <w:rPr>
          <w:rFonts w:hint="eastAsia"/>
          <w:sz w:val="24"/>
        </w:rPr>
        <w:t>月</w:t>
      </w:r>
      <w:r>
        <w:rPr>
          <w:rFonts w:hint="eastAsia"/>
          <w:sz w:val="24"/>
        </w:rPr>
        <w:t>31</w:t>
      </w:r>
      <w:r>
        <w:rPr>
          <w:rFonts w:hint="eastAsia"/>
          <w:sz w:val="24"/>
        </w:rPr>
        <w:t>日止。</w:t>
      </w:r>
    </w:p>
    <w:p w14:paraId="44CD5120"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（二）《服务框架协议》</w:t>
      </w:r>
    </w:p>
    <w:p w14:paraId="13AE05BB"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1</w:t>
      </w:r>
      <w:r>
        <w:rPr>
          <w:rFonts w:hint="eastAsia"/>
          <w:sz w:val="24"/>
        </w:rPr>
        <w:t>、交易种类</w:t>
      </w:r>
    </w:p>
    <w:p w14:paraId="161E86E4"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w:t>
      </w:r>
      <w:r>
        <w:rPr>
          <w:rFonts w:hint="eastAsia"/>
          <w:sz w:val="24"/>
        </w:rPr>
        <w:t>1</w:t>
      </w:r>
      <w:r>
        <w:rPr>
          <w:rFonts w:hint="eastAsia"/>
          <w:sz w:val="24"/>
        </w:rPr>
        <w:t>）本协议项下约定的服务种类为：乙方向甲方提供工业废物处理服务、运输和技术咨询服务等，具体事宜按照甲乙双方不同项目的需求，以根据本协议的条款及条件正式单独签订的各合同为准。</w:t>
      </w:r>
    </w:p>
    <w:p w14:paraId="2C2995E5"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w:t>
      </w:r>
      <w:r>
        <w:rPr>
          <w:rFonts w:hint="eastAsia"/>
          <w:sz w:val="24"/>
        </w:rPr>
        <w:t>2</w:t>
      </w:r>
      <w:r>
        <w:rPr>
          <w:rFonts w:hint="eastAsia"/>
          <w:sz w:val="24"/>
        </w:rPr>
        <w:t>）如上述交易各类或范围发生变化，在符合所有适用合规要求的前提下，双方可签署补充协议对上述约定进行修改。</w:t>
      </w:r>
    </w:p>
    <w:p w14:paraId="52684D74"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2</w:t>
      </w:r>
      <w:r>
        <w:rPr>
          <w:rFonts w:hint="eastAsia"/>
          <w:sz w:val="24"/>
        </w:rPr>
        <w:t>、交易原则</w:t>
      </w:r>
    </w:p>
    <w:p w14:paraId="06703E20"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本协议的签订，不影响双方各自主选择交易对象，或与第三方进行交易。</w:t>
      </w:r>
    </w:p>
    <w:p w14:paraId="1B0C0315"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3</w:t>
      </w:r>
      <w:r>
        <w:rPr>
          <w:rFonts w:hint="eastAsia"/>
          <w:sz w:val="24"/>
        </w:rPr>
        <w:t>、服务定价</w:t>
      </w:r>
    </w:p>
    <w:p w14:paraId="36DEEB9C"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双方在本框架协议项下所签订的服务协议应按一般商业条款进行，其中（</w:t>
      </w:r>
      <w:r>
        <w:rPr>
          <w:rFonts w:hint="eastAsia"/>
          <w:sz w:val="24"/>
        </w:rPr>
        <w:t>i</w:t>
      </w:r>
      <w:r>
        <w:rPr>
          <w:rFonts w:hint="eastAsia"/>
          <w:sz w:val="24"/>
        </w:rPr>
        <w:t>）应根据乙方所采纳的定价基准及╱或内部监控措施按不逊于乙方向其独立第三方提供或取得的当前市场条款进行；（</w:t>
      </w:r>
      <w:r>
        <w:rPr>
          <w:rFonts w:hint="eastAsia"/>
          <w:sz w:val="24"/>
        </w:rPr>
        <w:t>ii</w:t>
      </w:r>
      <w:r>
        <w:rPr>
          <w:rFonts w:hint="eastAsia"/>
          <w:sz w:val="24"/>
        </w:rPr>
        <w:t>）应于乙方日常及一般业务过程中经公平磋商后进行</w:t>
      </w:r>
      <w:r>
        <w:rPr>
          <w:rFonts w:hint="eastAsia"/>
          <w:sz w:val="24"/>
        </w:rPr>
        <w:t>;</w:t>
      </w:r>
      <w:r>
        <w:rPr>
          <w:rFonts w:hint="eastAsia"/>
          <w:sz w:val="24"/>
        </w:rPr>
        <w:t>及（</w:t>
      </w:r>
      <w:r>
        <w:rPr>
          <w:rFonts w:hint="eastAsia"/>
          <w:sz w:val="24"/>
        </w:rPr>
        <w:t>iii</w:t>
      </w:r>
      <w:r>
        <w:rPr>
          <w:rFonts w:hint="eastAsia"/>
          <w:sz w:val="24"/>
        </w:rPr>
        <w:t>）总交易金额不应超过第三款所列的合同总金额。原则上根据本协议项下各合同的条款（包括应付的金额）须按项目的特定需求，基于公平合理的原则，综合考虑包括但不限于需处理的废物种类、性质、数量、处理方式及</w:t>
      </w:r>
      <w:r>
        <w:rPr>
          <w:rFonts w:hint="eastAsia"/>
          <w:sz w:val="24"/>
        </w:rPr>
        <w:lastRenderedPageBreak/>
        <w:t>包装方式，收运废物运输路程，同类服务市场价格等因素而厘定，原则上不应低于乙方向其他独立第三方提供同类型服务的价格，具体条款皆为甲乙双方经公平磋商后协商一致同意后确定。</w:t>
      </w:r>
    </w:p>
    <w:p w14:paraId="2101953E"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4</w:t>
      </w:r>
      <w:r>
        <w:rPr>
          <w:rFonts w:hint="eastAsia"/>
          <w:sz w:val="24"/>
        </w:rPr>
        <w:t>、交易额度</w:t>
      </w:r>
    </w:p>
    <w:p w14:paraId="54C72FA2"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合同有效期合同总金额预计不超过人民币</w:t>
      </w:r>
      <w:r>
        <w:rPr>
          <w:rFonts w:hint="eastAsia"/>
          <w:sz w:val="24"/>
        </w:rPr>
        <w:t>1,000</w:t>
      </w:r>
      <w:r>
        <w:rPr>
          <w:rFonts w:hint="eastAsia"/>
          <w:sz w:val="24"/>
        </w:rPr>
        <w:t>万元。</w:t>
      </w:r>
    </w:p>
    <w:p w14:paraId="787B37F5"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5</w:t>
      </w:r>
      <w:r>
        <w:rPr>
          <w:rFonts w:hint="eastAsia"/>
          <w:sz w:val="24"/>
        </w:rPr>
        <w:t>、支付方式及其他</w:t>
      </w:r>
    </w:p>
    <w:p w14:paraId="2A1EB79A"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相关服务的费用计算方式、支付方式及其他服务安排由双方另行商定。</w:t>
      </w:r>
    </w:p>
    <w:p w14:paraId="777663B0"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6</w:t>
      </w:r>
      <w:r>
        <w:rPr>
          <w:rFonts w:hint="eastAsia"/>
          <w:sz w:val="24"/>
        </w:rPr>
        <w:t>、合同有效期</w:t>
      </w:r>
    </w:p>
    <w:p w14:paraId="13DB417D"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本框架协议有效期自合同生效之日起至</w:t>
      </w:r>
      <w:r>
        <w:rPr>
          <w:rFonts w:hint="eastAsia"/>
          <w:sz w:val="24"/>
        </w:rPr>
        <w:t>2026</w:t>
      </w:r>
      <w:r>
        <w:rPr>
          <w:rFonts w:hint="eastAsia"/>
          <w:sz w:val="24"/>
        </w:rPr>
        <w:t>年</w:t>
      </w:r>
      <w:r>
        <w:rPr>
          <w:rFonts w:hint="eastAsia"/>
          <w:sz w:val="24"/>
        </w:rPr>
        <w:t>12</w:t>
      </w:r>
      <w:r>
        <w:rPr>
          <w:rFonts w:hint="eastAsia"/>
          <w:sz w:val="24"/>
        </w:rPr>
        <w:t>月</w:t>
      </w:r>
      <w:r>
        <w:rPr>
          <w:rFonts w:hint="eastAsia"/>
          <w:sz w:val="24"/>
        </w:rPr>
        <w:t>31</w:t>
      </w:r>
      <w:r>
        <w:rPr>
          <w:rFonts w:hint="eastAsia"/>
          <w:sz w:val="24"/>
        </w:rPr>
        <w:t>日止。</w:t>
      </w:r>
    </w:p>
    <w:p w14:paraId="5D6C1746"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（三）《原材料采购框架协议》</w:t>
      </w:r>
    </w:p>
    <w:p w14:paraId="16C5C17B"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1</w:t>
      </w:r>
      <w:r>
        <w:rPr>
          <w:rFonts w:hint="eastAsia"/>
          <w:sz w:val="24"/>
        </w:rPr>
        <w:t>、交易种类</w:t>
      </w:r>
    </w:p>
    <w:p w14:paraId="3B9C587C"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w:t>
      </w:r>
      <w:r>
        <w:rPr>
          <w:rFonts w:hint="eastAsia"/>
          <w:sz w:val="24"/>
        </w:rPr>
        <w:t>1</w:t>
      </w:r>
      <w:r>
        <w:rPr>
          <w:rFonts w:hint="eastAsia"/>
          <w:sz w:val="24"/>
        </w:rPr>
        <w:t>）本协议项下约定的交易类型为：乙方向甲方购买生产所需原料、商品等，具体事宜按照甲乙双方不同项目的需求，以根据本协议的条款及条件正式单独签订的各合同为准。</w:t>
      </w:r>
    </w:p>
    <w:p w14:paraId="77FB6DDA"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w:t>
      </w:r>
      <w:r>
        <w:rPr>
          <w:rFonts w:hint="eastAsia"/>
          <w:sz w:val="24"/>
        </w:rPr>
        <w:t>2</w:t>
      </w:r>
      <w:r>
        <w:rPr>
          <w:rFonts w:hint="eastAsia"/>
          <w:sz w:val="24"/>
        </w:rPr>
        <w:t>）如上述交易各类或范围发生变化，在符合所有适用合规要求的前提下，双方可签署补充协议对上述约定进行修改。</w:t>
      </w:r>
    </w:p>
    <w:p w14:paraId="03B2381D"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2</w:t>
      </w:r>
      <w:r>
        <w:rPr>
          <w:rFonts w:hint="eastAsia"/>
          <w:sz w:val="24"/>
        </w:rPr>
        <w:t>、交易原则</w:t>
      </w:r>
    </w:p>
    <w:p w14:paraId="671F6402"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本协议的签订，不影响双方各自主选择交易对象，或与第三方进行交易。</w:t>
      </w:r>
    </w:p>
    <w:p w14:paraId="3A4C98C3"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3</w:t>
      </w:r>
      <w:r>
        <w:rPr>
          <w:rFonts w:hint="eastAsia"/>
          <w:sz w:val="24"/>
        </w:rPr>
        <w:t>、交易定价</w:t>
      </w:r>
    </w:p>
    <w:p w14:paraId="278D4A3B"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双方在本框架协议项下所签订的协议应按一般商业条款进行，其中（</w:t>
      </w:r>
      <w:r>
        <w:rPr>
          <w:rFonts w:hint="eastAsia"/>
          <w:sz w:val="24"/>
        </w:rPr>
        <w:t>i</w:t>
      </w:r>
      <w:r>
        <w:rPr>
          <w:rFonts w:hint="eastAsia"/>
          <w:sz w:val="24"/>
        </w:rPr>
        <w:t>）应根据乙方所采纳的定价基准及╱或内部监控措施按不逊于乙方向其独立第三方提供或取得的当前市场条款进行；（</w:t>
      </w:r>
      <w:r>
        <w:rPr>
          <w:rFonts w:hint="eastAsia"/>
          <w:sz w:val="24"/>
        </w:rPr>
        <w:t>ii</w:t>
      </w:r>
      <w:r>
        <w:rPr>
          <w:rFonts w:hint="eastAsia"/>
          <w:sz w:val="24"/>
        </w:rPr>
        <w:t>）应于乙方日常及一般业务过程中经公平磋商后进行</w:t>
      </w:r>
      <w:r>
        <w:rPr>
          <w:rFonts w:hint="eastAsia"/>
          <w:sz w:val="24"/>
        </w:rPr>
        <w:t>;</w:t>
      </w:r>
      <w:r>
        <w:rPr>
          <w:rFonts w:hint="eastAsia"/>
          <w:sz w:val="24"/>
        </w:rPr>
        <w:t>及（</w:t>
      </w:r>
      <w:r>
        <w:rPr>
          <w:rFonts w:hint="eastAsia"/>
          <w:sz w:val="24"/>
        </w:rPr>
        <w:t>iii</w:t>
      </w:r>
      <w:r>
        <w:rPr>
          <w:rFonts w:hint="eastAsia"/>
          <w:sz w:val="24"/>
        </w:rPr>
        <w:t>）总交易金额不应超过第三款所列的合同总金额。原则上根据本协议项下各合同的条款（包括应付的金额）须按项目的特定需求，基于公平合理的原则，综合考虑包括但不限于乙方所需产品的种类、数量、金属含量（如适用）、</w:t>
      </w:r>
      <w:r>
        <w:rPr>
          <w:rFonts w:hint="eastAsia"/>
          <w:sz w:val="24"/>
        </w:rPr>
        <w:lastRenderedPageBreak/>
        <w:t>市场上同类型产品价格等因素而厘定，原则上不应高于乙方向其他独立第三方购买同类产品的价格，具体条款皆为甲乙双方经公平磋商后协商一致同意后确定。</w:t>
      </w:r>
    </w:p>
    <w:p w14:paraId="726587A8"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4</w:t>
      </w:r>
      <w:r>
        <w:rPr>
          <w:rFonts w:hint="eastAsia"/>
          <w:sz w:val="24"/>
        </w:rPr>
        <w:t>、交易额度</w:t>
      </w:r>
    </w:p>
    <w:p w14:paraId="3C122A26"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合同有效期合同总金额预计不超过人民币</w:t>
      </w:r>
      <w:r>
        <w:rPr>
          <w:rFonts w:hint="eastAsia"/>
          <w:sz w:val="24"/>
        </w:rPr>
        <w:t>10,000</w:t>
      </w:r>
      <w:r>
        <w:rPr>
          <w:rFonts w:hint="eastAsia"/>
          <w:sz w:val="24"/>
        </w:rPr>
        <w:t>万元。</w:t>
      </w:r>
    </w:p>
    <w:p w14:paraId="1FE7BFDC"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5</w:t>
      </w:r>
      <w:r>
        <w:rPr>
          <w:rFonts w:hint="eastAsia"/>
          <w:sz w:val="24"/>
        </w:rPr>
        <w:t>、支付方式及其他</w:t>
      </w:r>
    </w:p>
    <w:p w14:paraId="18B81C69"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相关费用计算方式、支付方式及其他安排由双方另行商定。</w:t>
      </w:r>
    </w:p>
    <w:p w14:paraId="6A26B88A"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6</w:t>
      </w:r>
      <w:r>
        <w:rPr>
          <w:rFonts w:hint="eastAsia"/>
          <w:sz w:val="24"/>
        </w:rPr>
        <w:t>、合同有效期</w:t>
      </w:r>
    </w:p>
    <w:p w14:paraId="6A828283"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本框架协议有效期自合同生效之日起至</w:t>
      </w:r>
      <w:r>
        <w:rPr>
          <w:rFonts w:hint="eastAsia"/>
          <w:sz w:val="24"/>
        </w:rPr>
        <w:t>2026</w:t>
      </w:r>
      <w:r>
        <w:rPr>
          <w:rFonts w:hint="eastAsia"/>
          <w:sz w:val="24"/>
        </w:rPr>
        <w:t>年</w:t>
      </w:r>
      <w:r>
        <w:rPr>
          <w:rFonts w:hint="eastAsia"/>
          <w:sz w:val="24"/>
        </w:rPr>
        <w:t>12</w:t>
      </w:r>
      <w:r>
        <w:rPr>
          <w:rFonts w:hint="eastAsia"/>
          <w:sz w:val="24"/>
        </w:rPr>
        <w:t>月</w:t>
      </w:r>
      <w:r>
        <w:rPr>
          <w:rFonts w:hint="eastAsia"/>
          <w:sz w:val="24"/>
        </w:rPr>
        <w:t>31</w:t>
      </w:r>
      <w:r>
        <w:rPr>
          <w:rFonts w:hint="eastAsia"/>
          <w:sz w:val="24"/>
        </w:rPr>
        <w:t>日止。</w:t>
      </w:r>
    </w:p>
    <w:bookmarkEnd w:id="0"/>
    <w:bookmarkEnd w:id="3"/>
    <w:p w14:paraId="2BD5C983" w14:textId="77777777" w:rsidR="00531693" w:rsidRDefault="00000000">
      <w:pPr>
        <w:spacing w:beforeLines="50" w:before="156" w:afterLines="50" w:after="156" w:line="420" w:lineRule="exact"/>
        <w:ind w:firstLineChars="200" w:firstLine="482"/>
        <w:outlineLvl w:val="0"/>
        <w:rPr>
          <w:b/>
          <w:sz w:val="24"/>
          <w:szCs w:val="32"/>
        </w:rPr>
      </w:pPr>
      <w:r>
        <w:rPr>
          <w:rFonts w:hint="eastAsia"/>
          <w:b/>
          <w:sz w:val="24"/>
          <w:szCs w:val="32"/>
        </w:rPr>
        <w:t>五</w:t>
      </w:r>
      <w:r>
        <w:rPr>
          <w:b/>
          <w:sz w:val="24"/>
          <w:szCs w:val="32"/>
        </w:rPr>
        <w:t>、</w:t>
      </w:r>
      <w:r>
        <w:rPr>
          <w:rFonts w:hint="eastAsia"/>
          <w:b/>
          <w:sz w:val="24"/>
          <w:szCs w:val="32"/>
        </w:rPr>
        <w:t>对公司的影响</w:t>
      </w:r>
    </w:p>
    <w:p w14:paraId="43A06BF9"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本次签订日常关联交易相关框架协议，是为了满足公司日常生产经营的实际需要，有利于充分发挥公司与关联方的协同效应，能够进一步保障原材料的稳定供应，并有助于拓宽产品销售及服务渠道，提升公司营业收入及运营效率。</w:t>
      </w:r>
    </w:p>
    <w:p w14:paraId="7C5B10EF"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上述关联交易均遵循公平、公正、公开的原则，不存在损害公司及全体股东、特别是中小股东利益的情形。相关业务的开展不会对公司的独立性产生影响，公司主要业务亦不会因该等交易而对关联人形成依赖。</w:t>
      </w:r>
    </w:p>
    <w:p w14:paraId="4CA5AD17" w14:textId="77777777" w:rsidR="00531693" w:rsidRDefault="00000000">
      <w:pPr>
        <w:spacing w:beforeLines="50" w:before="156" w:afterLines="50" w:after="156" w:line="420" w:lineRule="exact"/>
        <w:ind w:firstLineChars="200" w:firstLine="482"/>
        <w:outlineLvl w:val="0"/>
        <w:rPr>
          <w:b/>
          <w:sz w:val="24"/>
          <w:szCs w:val="32"/>
        </w:rPr>
      </w:pPr>
      <w:r>
        <w:rPr>
          <w:rFonts w:hint="eastAsia"/>
          <w:b/>
          <w:sz w:val="24"/>
          <w:szCs w:val="32"/>
        </w:rPr>
        <w:t>六</w:t>
      </w:r>
      <w:r>
        <w:rPr>
          <w:b/>
          <w:sz w:val="24"/>
          <w:szCs w:val="32"/>
        </w:rPr>
        <w:t>、备查文件</w:t>
      </w:r>
    </w:p>
    <w:p w14:paraId="0AEE2666"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sz w:val="24"/>
        </w:rPr>
        <w:t>1</w:t>
      </w:r>
      <w:r>
        <w:rPr>
          <w:sz w:val="24"/>
        </w:rPr>
        <w:t>、</w:t>
      </w:r>
      <w:r>
        <w:rPr>
          <w:rFonts w:hint="eastAsia"/>
          <w:sz w:val="24"/>
        </w:rPr>
        <w:t>第八届董事会第十四次会议决议</w:t>
      </w:r>
      <w:r>
        <w:rPr>
          <w:sz w:val="24"/>
        </w:rPr>
        <w:t>；</w:t>
      </w:r>
    </w:p>
    <w:p w14:paraId="6D43BEC4"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2</w:t>
      </w:r>
      <w:r>
        <w:rPr>
          <w:rFonts w:hint="eastAsia"/>
          <w:sz w:val="24"/>
        </w:rPr>
        <w:t>、第八届董事会独立董事专门会议第四次会议审核意见；</w:t>
      </w:r>
    </w:p>
    <w:p w14:paraId="5AFA4962" w14:textId="77777777" w:rsidR="00531693" w:rsidRDefault="00000000">
      <w:pPr>
        <w:tabs>
          <w:tab w:val="left" w:pos="1260"/>
        </w:tabs>
        <w:autoSpaceDE w:val="0"/>
        <w:autoSpaceDN w:val="0"/>
        <w:adjustRightInd w:val="0"/>
        <w:spacing w:afterLines="50" w:after="156" w:line="360" w:lineRule="auto"/>
        <w:ind w:firstLineChars="200" w:firstLine="480"/>
        <w:rPr>
          <w:sz w:val="24"/>
        </w:rPr>
      </w:pPr>
      <w:r>
        <w:rPr>
          <w:rFonts w:hint="eastAsia"/>
          <w:sz w:val="24"/>
        </w:rPr>
        <w:t>3</w:t>
      </w:r>
      <w:r>
        <w:rPr>
          <w:sz w:val="24"/>
        </w:rPr>
        <w:t>、</w:t>
      </w:r>
      <w:r>
        <w:rPr>
          <w:rFonts w:hint="eastAsia"/>
          <w:sz w:val="24"/>
        </w:rPr>
        <w:t>《产品销售框架协议》《服务框架协议》及《原材料采购框架协议》</w:t>
      </w:r>
      <w:r>
        <w:rPr>
          <w:sz w:val="24"/>
        </w:rPr>
        <w:t>。</w:t>
      </w:r>
    </w:p>
    <w:p w14:paraId="4EDE08E5" w14:textId="77777777" w:rsidR="00531693" w:rsidRDefault="00531693">
      <w:pPr>
        <w:tabs>
          <w:tab w:val="left" w:pos="1260"/>
        </w:tabs>
        <w:autoSpaceDE w:val="0"/>
        <w:autoSpaceDN w:val="0"/>
        <w:adjustRightInd w:val="0"/>
        <w:spacing w:afterLines="50" w:after="156" w:line="360" w:lineRule="auto"/>
        <w:ind w:firstLineChars="200" w:firstLine="480"/>
        <w:rPr>
          <w:sz w:val="24"/>
        </w:rPr>
      </w:pPr>
    </w:p>
    <w:p w14:paraId="3708204B" w14:textId="77777777" w:rsidR="00531693" w:rsidRDefault="00000000">
      <w:pPr>
        <w:tabs>
          <w:tab w:val="left" w:pos="1260"/>
        </w:tabs>
        <w:autoSpaceDE w:val="0"/>
        <w:autoSpaceDN w:val="0"/>
        <w:adjustRightInd w:val="0"/>
        <w:spacing w:afterLines="50" w:after="156" w:line="360" w:lineRule="auto"/>
        <w:ind w:firstLineChars="200" w:firstLine="480"/>
        <w:jc w:val="right"/>
        <w:rPr>
          <w:sz w:val="24"/>
        </w:rPr>
      </w:pPr>
      <w:r>
        <w:rPr>
          <w:sz w:val="24"/>
        </w:rPr>
        <w:t>东江环保股份有限公司董事会</w:t>
      </w:r>
    </w:p>
    <w:p w14:paraId="4DCBB4B0" w14:textId="77777777" w:rsidR="00531693" w:rsidRDefault="00000000">
      <w:pPr>
        <w:tabs>
          <w:tab w:val="left" w:pos="1260"/>
        </w:tabs>
        <w:autoSpaceDE w:val="0"/>
        <w:autoSpaceDN w:val="0"/>
        <w:adjustRightInd w:val="0"/>
        <w:spacing w:afterLines="50" w:after="156" w:line="360" w:lineRule="auto"/>
        <w:ind w:firstLineChars="200" w:firstLine="480"/>
        <w:jc w:val="right"/>
        <w:rPr>
          <w:sz w:val="24"/>
        </w:rPr>
      </w:pPr>
      <w:r>
        <w:rPr>
          <w:sz w:val="24"/>
        </w:rPr>
        <w:t>202</w:t>
      </w:r>
      <w:r>
        <w:rPr>
          <w:rFonts w:hint="eastAsia"/>
          <w:sz w:val="24"/>
        </w:rPr>
        <w:t>6</w:t>
      </w:r>
      <w:r>
        <w:rPr>
          <w:sz w:val="24"/>
        </w:rPr>
        <w:t>年</w:t>
      </w:r>
      <w:r>
        <w:rPr>
          <w:rFonts w:hint="eastAsia"/>
          <w:sz w:val="24"/>
        </w:rPr>
        <w:t>3</w:t>
      </w:r>
      <w:r>
        <w:rPr>
          <w:sz w:val="24"/>
        </w:rPr>
        <w:t>月</w:t>
      </w:r>
      <w:r>
        <w:rPr>
          <w:rFonts w:hint="eastAsia"/>
          <w:sz w:val="24"/>
        </w:rPr>
        <w:t>28</w:t>
      </w:r>
      <w:r>
        <w:rPr>
          <w:sz w:val="24"/>
        </w:rPr>
        <w:t>日</w:t>
      </w:r>
    </w:p>
    <w:sectPr w:rsidR="005316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E66"/>
    <w:rsid w:val="0000052F"/>
    <w:rsid w:val="0000679E"/>
    <w:rsid w:val="00010574"/>
    <w:rsid w:val="00010A34"/>
    <w:rsid w:val="00012D06"/>
    <w:rsid w:val="0001488B"/>
    <w:rsid w:val="00015191"/>
    <w:rsid w:val="000154C7"/>
    <w:rsid w:val="00017785"/>
    <w:rsid w:val="00023572"/>
    <w:rsid w:val="00023578"/>
    <w:rsid w:val="00025253"/>
    <w:rsid w:val="00035EA7"/>
    <w:rsid w:val="00037F21"/>
    <w:rsid w:val="000401D2"/>
    <w:rsid w:val="00040C3B"/>
    <w:rsid w:val="00041F23"/>
    <w:rsid w:val="000443AF"/>
    <w:rsid w:val="000447A8"/>
    <w:rsid w:val="00044DE9"/>
    <w:rsid w:val="00046E18"/>
    <w:rsid w:val="00047A78"/>
    <w:rsid w:val="00050140"/>
    <w:rsid w:val="0005111B"/>
    <w:rsid w:val="00051779"/>
    <w:rsid w:val="00052ED2"/>
    <w:rsid w:val="000548B7"/>
    <w:rsid w:val="00055E87"/>
    <w:rsid w:val="00056A08"/>
    <w:rsid w:val="0005781A"/>
    <w:rsid w:val="00062697"/>
    <w:rsid w:val="00064FEC"/>
    <w:rsid w:val="00065D68"/>
    <w:rsid w:val="00066816"/>
    <w:rsid w:val="000672E2"/>
    <w:rsid w:val="00067D94"/>
    <w:rsid w:val="00070287"/>
    <w:rsid w:val="00071AE5"/>
    <w:rsid w:val="0007202C"/>
    <w:rsid w:val="00072173"/>
    <w:rsid w:val="0007223B"/>
    <w:rsid w:val="0007618C"/>
    <w:rsid w:val="00077553"/>
    <w:rsid w:val="00077590"/>
    <w:rsid w:val="00083CA6"/>
    <w:rsid w:val="0008419C"/>
    <w:rsid w:val="000843B9"/>
    <w:rsid w:val="00085B65"/>
    <w:rsid w:val="0008721B"/>
    <w:rsid w:val="00090405"/>
    <w:rsid w:val="00091465"/>
    <w:rsid w:val="00091C4D"/>
    <w:rsid w:val="00093476"/>
    <w:rsid w:val="000941A3"/>
    <w:rsid w:val="000953D3"/>
    <w:rsid w:val="000A0C73"/>
    <w:rsid w:val="000A2510"/>
    <w:rsid w:val="000A2B6C"/>
    <w:rsid w:val="000A3437"/>
    <w:rsid w:val="000A4A26"/>
    <w:rsid w:val="000A4F9D"/>
    <w:rsid w:val="000B2540"/>
    <w:rsid w:val="000B3442"/>
    <w:rsid w:val="000B4796"/>
    <w:rsid w:val="000B504F"/>
    <w:rsid w:val="000B5AD3"/>
    <w:rsid w:val="000C2375"/>
    <w:rsid w:val="000C33F0"/>
    <w:rsid w:val="000C3BB3"/>
    <w:rsid w:val="000C46E5"/>
    <w:rsid w:val="000C5901"/>
    <w:rsid w:val="000C7E18"/>
    <w:rsid w:val="000D17AF"/>
    <w:rsid w:val="000D1DAE"/>
    <w:rsid w:val="000D4B0F"/>
    <w:rsid w:val="000D5616"/>
    <w:rsid w:val="000D5776"/>
    <w:rsid w:val="000D6424"/>
    <w:rsid w:val="000D6D92"/>
    <w:rsid w:val="000E3A81"/>
    <w:rsid w:val="000E3D13"/>
    <w:rsid w:val="000E75DF"/>
    <w:rsid w:val="000F53C7"/>
    <w:rsid w:val="000F6081"/>
    <w:rsid w:val="000F6E87"/>
    <w:rsid w:val="000F74D8"/>
    <w:rsid w:val="000F7801"/>
    <w:rsid w:val="001014FD"/>
    <w:rsid w:val="001018E3"/>
    <w:rsid w:val="00101FF5"/>
    <w:rsid w:val="001035B4"/>
    <w:rsid w:val="00105322"/>
    <w:rsid w:val="00105723"/>
    <w:rsid w:val="0010647E"/>
    <w:rsid w:val="00112A01"/>
    <w:rsid w:val="00115BE7"/>
    <w:rsid w:val="0011621D"/>
    <w:rsid w:val="0012038C"/>
    <w:rsid w:val="00126138"/>
    <w:rsid w:val="00131439"/>
    <w:rsid w:val="0013614C"/>
    <w:rsid w:val="00136FA6"/>
    <w:rsid w:val="001409A5"/>
    <w:rsid w:val="00141F71"/>
    <w:rsid w:val="0014345C"/>
    <w:rsid w:val="0014419D"/>
    <w:rsid w:val="00145747"/>
    <w:rsid w:val="00151435"/>
    <w:rsid w:val="00152491"/>
    <w:rsid w:val="00154D4F"/>
    <w:rsid w:val="00160B40"/>
    <w:rsid w:val="00160EA7"/>
    <w:rsid w:val="001612AF"/>
    <w:rsid w:val="001628E9"/>
    <w:rsid w:val="00170087"/>
    <w:rsid w:val="001706EA"/>
    <w:rsid w:val="00171A8B"/>
    <w:rsid w:val="00173B9C"/>
    <w:rsid w:val="00175147"/>
    <w:rsid w:val="001776A5"/>
    <w:rsid w:val="00181044"/>
    <w:rsid w:val="00182889"/>
    <w:rsid w:val="001840FA"/>
    <w:rsid w:val="001844AC"/>
    <w:rsid w:val="00184AC4"/>
    <w:rsid w:val="00186B2E"/>
    <w:rsid w:val="00194442"/>
    <w:rsid w:val="00194C42"/>
    <w:rsid w:val="00194EA6"/>
    <w:rsid w:val="00196EEF"/>
    <w:rsid w:val="00197D15"/>
    <w:rsid w:val="001A1247"/>
    <w:rsid w:val="001A1AEC"/>
    <w:rsid w:val="001A365F"/>
    <w:rsid w:val="001A379F"/>
    <w:rsid w:val="001A3E6B"/>
    <w:rsid w:val="001B1995"/>
    <w:rsid w:val="001B4E7E"/>
    <w:rsid w:val="001C4AAB"/>
    <w:rsid w:val="001C5EFA"/>
    <w:rsid w:val="001C61E8"/>
    <w:rsid w:val="001C6DFC"/>
    <w:rsid w:val="001C7CBC"/>
    <w:rsid w:val="001D2B1F"/>
    <w:rsid w:val="001E11ED"/>
    <w:rsid w:val="001E1241"/>
    <w:rsid w:val="001E4C94"/>
    <w:rsid w:val="001E7825"/>
    <w:rsid w:val="001F0A74"/>
    <w:rsid w:val="001F31C7"/>
    <w:rsid w:val="001F41E2"/>
    <w:rsid w:val="001F5AC3"/>
    <w:rsid w:val="00202105"/>
    <w:rsid w:val="002036BD"/>
    <w:rsid w:val="00206099"/>
    <w:rsid w:val="00207326"/>
    <w:rsid w:val="00207331"/>
    <w:rsid w:val="00207D6C"/>
    <w:rsid w:val="0021072A"/>
    <w:rsid w:val="002107CA"/>
    <w:rsid w:val="002124D0"/>
    <w:rsid w:val="00215D82"/>
    <w:rsid w:val="00216E04"/>
    <w:rsid w:val="00220061"/>
    <w:rsid w:val="0022128D"/>
    <w:rsid w:val="002227FB"/>
    <w:rsid w:val="002257DE"/>
    <w:rsid w:val="002268F9"/>
    <w:rsid w:val="0023186D"/>
    <w:rsid w:val="00232F74"/>
    <w:rsid w:val="002348A8"/>
    <w:rsid w:val="00234DCF"/>
    <w:rsid w:val="00235DD7"/>
    <w:rsid w:val="002379A9"/>
    <w:rsid w:val="0024025E"/>
    <w:rsid w:val="0024053B"/>
    <w:rsid w:val="00241279"/>
    <w:rsid w:val="00241800"/>
    <w:rsid w:val="00244536"/>
    <w:rsid w:val="00244CD9"/>
    <w:rsid w:val="00251F6C"/>
    <w:rsid w:val="00253002"/>
    <w:rsid w:val="00253A6B"/>
    <w:rsid w:val="00260E3D"/>
    <w:rsid w:val="00263114"/>
    <w:rsid w:val="002641B2"/>
    <w:rsid w:val="0026601C"/>
    <w:rsid w:val="0027192D"/>
    <w:rsid w:val="002757A3"/>
    <w:rsid w:val="0028115E"/>
    <w:rsid w:val="0028356F"/>
    <w:rsid w:val="00284C00"/>
    <w:rsid w:val="00285321"/>
    <w:rsid w:val="00285BE2"/>
    <w:rsid w:val="00286405"/>
    <w:rsid w:val="00287F7A"/>
    <w:rsid w:val="00290155"/>
    <w:rsid w:val="00295585"/>
    <w:rsid w:val="00297237"/>
    <w:rsid w:val="002A0EB2"/>
    <w:rsid w:val="002A1767"/>
    <w:rsid w:val="002A545A"/>
    <w:rsid w:val="002B3738"/>
    <w:rsid w:val="002B45E8"/>
    <w:rsid w:val="002B6CF0"/>
    <w:rsid w:val="002C135E"/>
    <w:rsid w:val="002C14A1"/>
    <w:rsid w:val="002C692B"/>
    <w:rsid w:val="002D3305"/>
    <w:rsid w:val="002D37A6"/>
    <w:rsid w:val="002D3DC3"/>
    <w:rsid w:val="002D4D0F"/>
    <w:rsid w:val="002E17F8"/>
    <w:rsid w:val="002E1A75"/>
    <w:rsid w:val="002F04F1"/>
    <w:rsid w:val="002F31D7"/>
    <w:rsid w:val="002F3C24"/>
    <w:rsid w:val="002F546D"/>
    <w:rsid w:val="00300952"/>
    <w:rsid w:val="00300D81"/>
    <w:rsid w:val="00302815"/>
    <w:rsid w:val="00303CC1"/>
    <w:rsid w:val="00304C53"/>
    <w:rsid w:val="003071A5"/>
    <w:rsid w:val="003103EE"/>
    <w:rsid w:val="00315B33"/>
    <w:rsid w:val="003160C8"/>
    <w:rsid w:val="003170C3"/>
    <w:rsid w:val="00320605"/>
    <w:rsid w:val="003211E6"/>
    <w:rsid w:val="003253F3"/>
    <w:rsid w:val="00325CEE"/>
    <w:rsid w:val="00327DF5"/>
    <w:rsid w:val="00333CFD"/>
    <w:rsid w:val="00334E37"/>
    <w:rsid w:val="00335460"/>
    <w:rsid w:val="0033559B"/>
    <w:rsid w:val="00340079"/>
    <w:rsid w:val="003426E9"/>
    <w:rsid w:val="00343C2D"/>
    <w:rsid w:val="003450A2"/>
    <w:rsid w:val="003470E3"/>
    <w:rsid w:val="00347747"/>
    <w:rsid w:val="00351949"/>
    <w:rsid w:val="00354253"/>
    <w:rsid w:val="00366D72"/>
    <w:rsid w:val="00367585"/>
    <w:rsid w:val="0036785D"/>
    <w:rsid w:val="003709E4"/>
    <w:rsid w:val="00370C02"/>
    <w:rsid w:val="00371C3A"/>
    <w:rsid w:val="00372473"/>
    <w:rsid w:val="00381122"/>
    <w:rsid w:val="00381395"/>
    <w:rsid w:val="00384FDE"/>
    <w:rsid w:val="00392155"/>
    <w:rsid w:val="003922FC"/>
    <w:rsid w:val="00392886"/>
    <w:rsid w:val="0039363E"/>
    <w:rsid w:val="003942E2"/>
    <w:rsid w:val="00394E43"/>
    <w:rsid w:val="00395584"/>
    <w:rsid w:val="00396E31"/>
    <w:rsid w:val="003A230D"/>
    <w:rsid w:val="003A24C8"/>
    <w:rsid w:val="003A2793"/>
    <w:rsid w:val="003A2AB5"/>
    <w:rsid w:val="003A2BC8"/>
    <w:rsid w:val="003A6E4A"/>
    <w:rsid w:val="003B02A0"/>
    <w:rsid w:val="003B122F"/>
    <w:rsid w:val="003B43BE"/>
    <w:rsid w:val="003B6DC5"/>
    <w:rsid w:val="003B751B"/>
    <w:rsid w:val="003B7FB7"/>
    <w:rsid w:val="003C0B08"/>
    <w:rsid w:val="003C18F8"/>
    <w:rsid w:val="003C2802"/>
    <w:rsid w:val="003C2D8C"/>
    <w:rsid w:val="003C428B"/>
    <w:rsid w:val="003C7D91"/>
    <w:rsid w:val="003D3E1A"/>
    <w:rsid w:val="003D4300"/>
    <w:rsid w:val="003D5601"/>
    <w:rsid w:val="003E5288"/>
    <w:rsid w:val="003E55CB"/>
    <w:rsid w:val="003E5F7A"/>
    <w:rsid w:val="003E6CE6"/>
    <w:rsid w:val="003F0E88"/>
    <w:rsid w:val="003F440E"/>
    <w:rsid w:val="003F51A3"/>
    <w:rsid w:val="003F6B8E"/>
    <w:rsid w:val="00400C33"/>
    <w:rsid w:val="00404DBA"/>
    <w:rsid w:val="004059C7"/>
    <w:rsid w:val="00406927"/>
    <w:rsid w:val="00406AA7"/>
    <w:rsid w:val="00410B64"/>
    <w:rsid w:val="00415AF1"/>
    <w:rsid w:val="004225BA"/>
    <w:rsid w:val="004264D0"/>
    <w:rsid w:val="00427588"/>
    <w:rsid w:val="00434C21"/>
    <w:rsid w:val="00437870"/>
    <w:rsid w:val="004379A1"/>
    <w:rsid w:val="004406B7"/>
    <w:rsid w:val="0044159C"/>
    <w:rsid w:val="00442584"/>
    <w:rsid w:val="0044334A"/>
    <w:rsid w:val="00443A79"/>
    <w:rsid w:val="00445393"/>
    <w:rsid w:val="004462B4"/>
    <w:rsid w:val="0044687D"/>
    <w:rsid w:val="00447634"/>
    <w:rsid w:val="00447671"/>
    <w:rsid w:val="004510E4"/>
    <w:rsid w:val="00451E22"/>
    <w:rsid w:val="00452A29"/>
    <w:rsid w:val="00452A4B"/>
    <w:rsid w:val="0045336A"/>
    <w:rsid w:val="00453CE9"/>
    <w:rsid w:val="00454079"/>
    <w:rsid w:val="00456319"/>
    <w:rsid w:val="00461F53"/>
    <w:rsid w:val="0046306F"/>
    <w:rsid w:val="004659BA"/>
    <w:rsid w:val="00465C58"/>
    <w:rsid w:val="00475E62"/>
    <w:rsid w:val="00476B67"/>
    <w:rsid w:val="004770A3"/>
    <w:rsid w:val="00481A64"/>
    <w:rsid w:val="00482B62"/>
    <w:rsid w:val="00484E2E"/>
    <w:rsid w:val="00485F82"/>
    <w:rsid w:val="00486B4C"/>
    <w:rsid w:val="00490C06"/>
    <w:rsid w:val="00491990"/>
    <w:rsid w:val="00491ECE"/>
    <w:rsid w:val="00493203"/>
    <w:rsid w:val="00493304"/>
    <w:rsid w:val="00494694"/>
    <w:rsid w:val="004954F8"/>
    <w:rsid w:val="00496125"/>
    <w:rsid w:val="004A1DD2"/>
    <w:rsid w:val="004A3222"/>
    <w:rsid w:val="004A5F76"/>
    <w:rsid w:val="004A6184"/>
    <w:rsid w:val="004A781D"/>
    <w:rsid w:val="004B215B"/>
    <w:rsid w:val="004B25A6"/>
    <w:rsid w:val="004B2811"/>
    <w:rsid w:val="004B43A1"/>
    <w:rsid w:val="004B74B9"/>
    <w:rsid w:val="004C2450"/>
    <w:rsid w:val="004C3FA2"/>
    <w:rsid w:val="004C6190"/>
    <w:rsid w:val="004D05D3"/>
    <w:rsid w:val="004D3CD8"/>
    <w:rsid w:val="004D5FB6"/>
    <w:rsid w:val="004D7227"/>
    <w:rsid w:val="004E068B"/>
    <w:rsid w:val="004E2CC4"/>
    <w:rsid w:val="004E31E6"/>
    <w:rsid w:val="004E449C"/>
    <w:rsid w:val="004E5C1D"/>
    <w:rsid w:val="004F180D"/>
    <w:rsid w:val="004F36D2"/>
    <w:rsid w:val="004F450E"/>
    <w:rsid w:val="004F4E16"/>
    <w:rsid w:val="004F5C7E"/>
    <w:rsid w:val="004F6A48"/>
    <w:rsid w:val="004F71E3"/>
    <w:rsid w:val="004F786B"/>
    <w:rsid w:val="00500563"/>
    <w:rsid w:val="0050119D"/>
    <w:rsid w:val="0050524E"/>
    <w:rsid w:val="00507B36"/>
    <w:rsid w:val="00510E30"/>
    <w:rsid w:val="00511DD4"/>
    <w:rsid w:val="00514E53"/>
    <w:rsid w:val="00516FDE"/>
    <w:rsid w:val="00517376"/>
    <w:rsid w:val="00517602"/>
    <w:rsid w:val="00522846"/>
    <w:rsid w:val="00522A93"/>
    <w:rsid w:val="00523DD6"/>
    <w:rsid w:val="0052565C"/>
    <w:rsid w:val="00526661"/>
    <w:rsid w:val="00527E7A"/>
    <w:rsid w:val="005314BA"/>
    <w:rsid w:val="00531693"/>
    <w:rsid w:val="00532136"/>
    <w:rsid w:val="00534C52"/>
    <w:rsid w:val="00536DA6"/>
    <w:rsid w:val="00540F82"/>
    <w:rsid w:val="00545553"/>
    <w:rsid w:val="005465AC"/>
    <w:rsid w:val="00546C18"/>
    <w:rsid w:val="005525BE"/>
    <w:rsid w:val="00552DEC"/>
    <w:rsid w:val="005535A8"/>
    <w:rsid w:val="00554C8A"/>
    <w:rsid w:val="00557347"/>
    <w:rsid w:val="00560BAC"/>
    <w:rsid w:val="00560BD5"/>
    <w:rsid w:val="00560F00"/>
    <w:rsid w:val="00563D96"/>
    <w:rsid w:val="005663BD"/>
    <w:rsid w:val="00567671"/>
    <w:rsid w:val="00570253"/>
    <w:rsid w:val="005712C6"/>
    <w:rsid w:val="00572770"/>
    <w:rsid w:val="005733AC"/>
    <w:rsid w:val="005733EF"/>
    <w:rsid w:val="00573754"/>
    <w:rsid w:val="00574452"/>
    <w:rsid w:val="005754B0"/>
    <w:rsid w:val="00575549"/>
    <w:rsid w:val="0057569A"/>
    <w:rsid w:val="00575718"/>
    <w:rsid w:val="005761D8"/>
    <w:rsid w:val="00577940"/>
    <w:rsid w:val="005820CF"/>
    <w:rsid w:val="0058220D"/>
    <w:rsid w:val="00582382"/>
    <w:rsid w:val="005850AD"/>
    <w:rsid w:val="0058593A"/>
    <w:rsid w:val="00590B48"/>
    <w:rsid w:val="00591EAC"/>
    <w:rsid w:val="00593BE2"/>
    <w:rsid w:val="00597940"/>
    <w:rsid w:val="005A0D86"/>
    <w:rsid w:val="005A2110"/>
    <w:rsid w:val="005A7BBD"/>
    <w:rsid w:val="005B04B6"/>
    <w:rsid w:val="005B17B9"/>
    <w:rsid w:val="005B2B26"/>
    <w:rsid w:val="005B2D92"/>
    <w:rsid w:val="005B539F"/>
    <w:rsid w:val="005B58D1"/>
    <w:rsid w:val="005C1639"/>
    <w:rsid w:val="005C1AA4"/>
    <w:rsid w:val="005C48FF"/>
    <w:rsid w:val="005C6503"/>
    <w:rsid w:val="005C78E9"/>
    <w:rsid w:val="005D0F48"/>
    <w:rsid w:val="005D5534"/>
    <w:rsid w:val="005D6126"/>
    <w:rsid w:val="005D6215"/>
    <w:rsid w:val="005D69A3"/>
    <w:rsid w:val="005D715F"/>
    <w:rsid w:val="005E1698"/>
    <w:rsid w:val="005E5D3C"/>
    <w:rsid w:val="005E7A18"/>
    <w:rsid w:val="005F1C45"/>
    <w:rsid w:val="006003AA"/>
    <w:rsid w:val="00601E62"/>
    <w:rsid w:val="0060281C"/>
    <w:rsid w:val="00606F50"/>
    <w:rsid w:val="006158DD"/>
    <w:rsid w:val="0061788D"/>
    <w:rsid w:val="00620A06"/>
    <w:rsid w:val="00621177"/>
    <w:rsid w:val="0062532C"/>
    <w:rsid w:val="00626146"/>
    <w:rsid w:val="00626251"/>
    <w:rsid w:val="00626D6B"/>
    <w:rsid w:val="006327EB"/>
    <w:rsid w:val="006361DB"/>
    <w:rsid w:val="006403F3"/>
    <w:rsid w:val="00641EA1"/>
    <w:rsid w:val="006433DF"/>
    <w:rsid w:val="00644648"/>
    <w:rsid w:val="006455C2"/>
    <w:rsid w:val="00647EA2"/>
    <w:rsid w:val="006500C6"/>
    <w:rsid w:val="00653E39"/>
    <w:rsid w:val="00655710"/>
    <w:rsid w:val="00657627"/>
    <w:rsid w:val="006615E6"/>
    <w:rsid w:val="00664F22"/>
    <w:rsid w:val="00670574"/>
    <w:rsid w:val="00670721"/>
    <w:rsid w:val="00670FBD"/>
    <w:rsid w:val="00671664"/>
    <w:rsid w:val="00677231"/>
    <w:rsid w:val="00677B9C"/>
    <w:rsid w:val="00680484"/>
    <w:rsid w:val="00681433"/>
    <w:rsid w:val="00684B13"/>
    <w:rsid w:val="00684D71"/>
    <w:rsid w:val="00684FC2"/>
    <w:rsid w:val="006863D1"/>
    <w:rsid w:val="00686888"/>
    <w:rsid w:val="00691D24"/>
    <w:rsid w:val="00692268"/>
    <w:rsid w:val="0069242A"/>
    <w:rsid w:val="006932C9"/>
    <w:rsid w:val="00694AC3"/>
    <w:rsid w:val="00694DC3"/>
    <w:rsid w:val="00695BCA"/>
    <w:rsid w:val="00697C58"/>
    <w:rsid w:val="006A20B6"/>
    <w:rsid w:val="006A35A7"/>
    <w:rsid w:val="006A41E2"/>
    <w:rsid w:val="006A5125"/>
    <w:rsid w:val="006A689A"/>
    <w:rsid w:val="006A6F02"/>
    <w:rsid w:val="006A7121"/>
    <w:rsid w:val="006B208C"/>
    <w:rsid w:val="006B44A1"/>
    <w:rsid w:val="006B4733"/>
    <w:rsid w:val="006B49A9"/>
    <w:rsid w:val="006B610F"/>
    <w:rsid w:val="006B7FF4"/>
    <w:rsid w:val="006C3F7B"/>
    <w:rsid w:val="006D01E1"/>
    <w:rsid w:val="006D106C"/>
    <w:rsid w:val="006D2042"/>
    <w:rsid w:val="006D32CC"/>
    <w:rsid w:val="006D4F86"/>
    <w:rsid w:val="006D6219"/>
    <w:rsid w:val="006E062C"/>
    <w:rsid w:val="006E204A"/>
    <w:rsid w:val="006E2920"/>
    <w:rsid w:val="006E2C8D"/>
    <w:rsid w:val="006E3C76"/>
    <w:rsid w:val="006E5DF9"/>
    <w:rsid w:val="006F0432"/>
    <w:rsid w:val="006F0CC5"/>
    <w:rsid w:val="006F1A5C"/>
    <w:rsid w:val="006F3CF3"/>
    <w:rsid w:val="006F4A44"/>
    <w:rsid w:val="006F5D35"/>
    <w:rsid w:val="006F6EEC"/>
    <w:rsid w:val="006F77B6"/>
    <w:rsid w:val="007007CE"/>
    <w:rsid w:val="00700D36"/>
    <w:rsid w:val="00700EB8"/>
    <w:rsid w:val="00701E79"/>
    <w:rsid w:val="007035DE"/>
    <w:rsid w:val="00707B3B"/>
    <w:rsid w:val="00711489"/>
    <w:rsid w:val="0071634E"/>
    <w:rsid w:val="00716891"/>
    <w:rsid w:val="007170C6"/>
    <w:rsid w:val="00720754"/>
    <w:rsid w:val="0072362B"/>
    <w:rsid w:val="00724B03"/>
    <w:rsid w:val="00725E43"/>
    <w:rsid w:val="00726B3A"/>
    <w:rsid w:val="0073379B"/>
    <w:rsid w:val="00734328"/>
    <w:rsid w:val="00734E57"/>
    <w:rsid w:val="007423F4"/>
    <w:rsid w:val="00745757"/>
    <w:rsid w:val="00747003"/>
    <w:rsid w:val="007507C0"/>
    <w:rsid w:val="007519C4"/>
    <w:rsid w:val="0075357D"/>
    <w:rsid w:val="0075529B"/>
    <w:rsid w:val="0075531F"/>
    <w:rsid w:val="00756CB6"/>
    <w:rsid w:val="00757533"/>
    <w:rsid w:val="00760248"/>
    <w:rsid w:val="00761993"/>
    <w:rsid w:val="00763AE3"/>
    <w:rsid w:val="00764604"/>
    <w:rsid w:val="007664CD"/>
    <w:rsid w:val="00773C6E"/>
    <w:rsid w:val="00775BF3"/>
    <w:rsid w:val="00780F5E"/>
    <w:rsid w:val="0078527F"/>
    <w:rsid w:val="00787FD0"/>
    <w:rsid w:val="00790317"/>
    <w:rsid w:val="00790EE2"/>
    <w:rsid w:val="0079117E"/>
    <w:rsid w:val="0079196C"/>
    <w:rsid w:val="0079384E"/>
    <w:rsid w:val="007979A5"/>
    <w:rsid w:val="00797ABD"/>
    <w:rsid w:val="007A00C0"/>
    <w:rsid w:val="007A2947"/>
    <w:rsid w:val="007A5EA5"/>
    <w:rsid w:val="007A624E"/>
    <w:rsid w:val="007A626A"/>
    <w:rsid w:val="007B02DC"/>
    <w:rsid w:val="007B2B2D"/>
    <w:rsid w:val="007B2DF8"/>
    <w:rsid w:val="007C5069"/>
    <w:rsid w:val="007D0BED"/>
    <w:rsid w:val="007D19AB"/>
    <w:rsid w:val="007D1CE0"/>
    <w:rsid w:val="007D3756"/>
    <w:rsid w:val="007D5E1A"/>
    <w:rsid w:val="007D71AC"/>
    <w:rsid w:val="007D7D28"/>
    <w:rsid w:val="007E14C2"/>
    <w:rsid w:val="007E5755"/>
    <w:rsid w:val="007E6B4C"/>
    <w:rsid w:val="007E79D2"/>
    <w:rsid w:val="007E7AD3"/>
    <w:rsid w:val="007F28E8"/>
    <w:rsid w:val="007F67BF"/>
    <w:rsid w:val="007F6CF4"/>
    <w:rsid w:val="007F6DD6"/>
    <w:rsid w:val="007F6E09"/>
    <w:rsid w:val="0080054E"/>
    <w:rsid w:val="008074AE"/>
    <w:rsid w:val="008076E9"/>
    <w:rsid w:val="00807FED"/>
    <w:rsid w:val="00817E24"/>
    <w:rsid w:val="00820359"/>
    <w:rsid w:val="00820C4F"/>
    <w:rsid w:val="008212D1"/>
    <w:rsid w:val="00830C09"/>
    <w:rsid w:val="008318DE"/>
    <w:rsid w:val="00831922"/>
    <w:rsid w:val="0083383F"/>
    <w:rsid w:val="00834366"/>
    <w:rsid w:val="00837188"/>
    <w:rsid w:val="008416C1"/>
    <w:rsid w:val="008417D7"/>
    <w:rsid w:val="00842D6E"/>
    <w:rsid w:val="00842DCD"/>
    <w:rsid w:val="0084317F"/>
    <w:rsid w:val="00843EE8"/>
    <w:rsid w:val="00850A17"/>
    <w:rsid w:val="008512AB"/>
    <w:rsid w:val="00853581"/>
    <w:rsid w:val="00853EDA"/>
    <w:rsid w:val="00854298"/>
    <w:rsid w:val="008576D0"/>
    <w:rsid w:val="008579AA"/>
    <w:rsid w:val="00867D6C"/>
    <w:rsid w:val="0087208F"/>
    <w:rsid w:val="0087242B"/>
    <w:rsid w:val="00874C62"/>
    <w:rsid w:val="00876677"/>
    <w:rsid w:val="00883A17"/>
    <w:rsid w:val="00886ECC"/>
    <w:rsid w:val="00890653"/>
    <w:rsid w:val="00890CBC"/>
    <w:rsid w:val="00893C5E"/>
    <w:rsid w:val="008A1C22"/>
    <w:rsid w:val="008A35BC"/>
    <w:rsid w:val="008A4121"/>
    <w:rsid w:val="008A783E"/>
    <w:rsid w:val="008A7CD3"/>
    <w:rsid w:val="008B5338"/>
    <w:rsid w:val="008B5AA6"/>
    <w:rsid w:val="008B6482"/>
    <w:rsid w:val="008B6E8C"/>
    <w:rsid w:val="008B7701"/>
    <w:rsid w:val="008B7C8D"/>
    <w:rsid w:val="008C482A"/>
    <w:rsid w:val="008C5B7E"/>
    <w:rsid w:val="008D077E"/>
    <w:rsid w:val="008D0DE4"/>
    <w:rsid w:val="008D13CF"/>
    <w:rsid w:val="008D21FB"/>
    <w:rsid w:val="008D2453"/>
    <w:rsid w:val="008D2676"/>
    <w:rsid w:val="008D29E8"/>
    <w:rsid w:val="008D4928"/>
    <w:rsid w:val="008D686D"/>
    <w:rsid w:val="008E24DF"/>
    <w:rsid w:val="008E4DAD"/>
    <w:rsid w:val="008F0164"/>
    <w:rsid w:val="008F21DA"/>
    <w:rsid w:val="008F2F01"/>
    <w:rsid w:val="008F3C0F"/>
    <w:rsid w:val="008F582A"/>
    <w:rsid w:val="008F7CB0"/>
    <w:rsid w:val="009034B7"/>
    <w:rsid w:val="00905072"/>
    <w:rsid w:val="00907D09"/>
    <w:rsid w:val="009121B3"/>
    <w:rsid w:val="00912C4D"/>
    <w:rsid w:val="009132CC"/>
    <w:rsid w:val="0092179F"/>
    <w:rsid w:val="00921CD9"/>
    <w:rsid w:val="009253EC"/>
    <w:rsid w:val="00934AC3"/>
    <w:rsid w:val="009364A3"/>
    <w:rsid w:val="0093734F"/>
    <w:rsid w:val="009405E1"/>
    <w:rsid w:val="00943DA8"/>
    <w:rsid w:val="00943F44"/>
    <w:rsid w:val="00952113"/>
    <w:rsid w:val="00956630"/>
    <w:rsid w:val="00957A4D"/>
    <w:rsid w:val="0096194C"/>
    <w:rsid w:val="00963D17"/>
    <w:rsid w:val="00964539"/>
    <w:rsid w:val="00966806"/>
    <w:rsid w:val="00976EBF"/>
    <w:rsid w:val="0097709A"/>
    <w:rsid w:val="0097771D"/>
    <w:rsid w:val="0098431B"/>
    <w:rsid w:val="00984557"/>
    <w:rsid w:val="00985308"/>
    <w:rsid w:val="00990836"/>
    <w:rsid w:val="00990EB6"/>
    <w:rsid w:val="00993822"/>
    <w:rsid w:val="00994AB2"/>
    <w:rsid w:val="00994B7F"/>
    <w:rsid w:val="00996906"/>
    <w:rsid w:val="00996B95"/>
    <w:rsid w:val="00997F53"/>
    <w:rsid w:val="009A0967"/>
    <w:rsid w:val="009A610E"/>
    <w:rsid w:val="009B13AD"/>
    <w:rsid w:val="009B29D6"/>
    <w:rsid w:val="009B30B5"/>
    <w:rsid w:val="009B317F"/>
    <w:rsid w:val="009B53CD"/>
    <w:rsid w:val="009C034F"/>
    <w:rsid w:val="009C4FBF"/>
    <w:rsid w:val="009D0B6F"/>
    <w:rsid w:val="009D1022"/>
    <w:rsid w:val="009D331C"/>
    <w:rsid w:val="009D5275"/>
    <w:rsid w:val="009E0E54"/>
    <w:rsid w:val="009E51F1"/>
    <w:rsid w:val="009F066E"/>
    <w:rsid w:val="009F588C"/>
    <w:rsid w:val="009F681D"/>
    <w:rsid w:val="009F7C58"/>
    <w:rsid w:val="00A00347"/>
    <w:rsid w:val="00A02CAC"/>
    <w:rsid w:val="00A0349C"/>
    <w:rsid w:val="00A05D0A"/>
    <w:rsid w:val="00A07E66"/>
    <w:rsid w:val="00A11115"/>
    <w:rsid w:val="00A135D2"/>
    <w:rsid w:val="00A13CB9"/>
    <w:rsid w:val="00A159BC"/>
    <w:rsid w:val="00A17DE3"/>
    <w:rsid w:val="00A20F12"/>
    <w:rsid w:val="00A213EB"/>
    <w:rsid w:val="00A228BF"/>
    <w:rsid w:val="00A24599"/>
    <w:rsid w:val="00A247A3"/>
    <w:rsid w:val="00A26717"/>
    <w:rsid w:val="00A30F56"/>
    <w:rsid w:val="00A34850"/>
    <w:rsid w:val="00A40658"/>
    <w:rsid w:val="00A40A87"/>
    <w:rsid w:val="00A452FE"/>
    <w:rsid w:val="00A4631E"/>
    <w:rsid w:val="00A474A5"/>
    <w:rsid w:val="00A56C0C"/>
    <w:rsid w:val="00A605DF"/>
    <w:rsid w:val="00A60E38"/>
    <w:rsid w:val="00A6142D"/>
    <w:rsid w:val="00A6144F"/>
    <w:rsid w:val="00A622DE"/>
    <w:rsid w:val="00A638D4"/>
    <w:rsid w:val="00A63F0A"/>
    <w:rsid w:val="00A64D22"/>
    <w:rsid w:val="00A65D02"/>
    <w:rsid w:val="00A66808"/>
    <w:rsid w:val="00A71661"/>
    <w:rsid w:val="00A727EA"/>
    <w:rsid w:val="00A73D67"/>
    <w:rsid w:val="00A74E95"/>
    <w:rsid w:val="00A77408"/>
    <w:rsid w:val="00A77692"/>
    <w:rsid w:val="00A778B3"/>
    <w:rsid w:val="00A806DB"/>
    <w:rsid w:val="00A84A34"/>
    <w:rsid w:val="00A8658B"/>
    <w:rsid w:val="00A8686A"/>
    <w:rsid w:val="00A86A30"/>
    <w:rsid w:val="00A86E8D"/>
    <w:rsid w:val="00A875EE"/>
    <w:rsid w:val="00A876A7"/>
    <w:rsid w:val="00A90A22"/>
    <w:rsid w:val="00A933E0"/>
    <w:rsid w:val="00A96B82"/>
    <w:rsid w:val="00A97316"/>
    <w:rsid w:val="00AA14C7"/>
    <w:rsid w:val="00AA5837"/>
    <w:rsid w:val="00AA6FCB"/>
    <w:rsid w:val="00AB1377"/>
    <w:rsid w:val="00AB2BD2"/>
    <w:rsid w:val="00AB382D"/>
    <w:rsid w:val="00AB3A8F"/>
    <w:rsid w:val="00AB3C36"/>
    <w:rsid w:val="00AB5A78"/>
    <w:rsid w:val="00AB65DC"/>
    <w:rsid w:val="00AB6A5B"/>
    <w:rsid w:val="00AB71B0"/>
    <w:rsid w:val="00AC50F7"/>
    <w:rsid w:val="00AC7AFB"/>
    <w:rsid w:val="00AC7C23"/>
    <w:rsid w:val="00AD007A"/>
    <w:rsid w:val="00AD448F"/>
    <w:rsid w:val="00AD63CC"/>
    <w:rsid w:val="00AE6785"/>
    <w:rsid w:val="00AE6BB5"/>
    <w:rsid w:val="00AF0DC3"/>
    <w:rsid w:val="00B01911"/>
    <w:rsid w:val="00B04AD1"/>
    <w:rsid w:val="00B0539C"/>
    <w:rsid w:val="00B05E4B"/>
    <w:rsid w:val="00B071D5"/>
    <w:rsid w:val="00B10AA0"/>
    <w:rsid w:val="00B12E20"/>
    <w:rsid w:val="00B14BCC"/>
    <w:rsid w:val="00B155A0"/>
    <w:rsid w:val="00B17DC2"/>
    <w:rsid w:val="00B17E96"/>
    <w:rsid w:val="00B2320D"/>
    <w:rsid w:val="00B234C3"/>
    <w:rsid w:val="00B23705"/>
    <w:rsid w:val="00B24065"/>
    <w:rsid w:val="00B242F8"/>
    <w:rsid w:val="00B24E78"/>
    <w:rsid w:val="00B27A52"/>
    <w:rsid w:val="00B27BD9"/>
    <w:rsid w:val="00B27CF3"/>
    <w:rsid w:val="00B305A3"/>
    <w:rsid w:val="00B4242A"/>
    <w:rsid w:val="00B429CC"/>
    <w:rsid w:val="00B42E3A"/>
    <w:rsid w:val="00B43549"/>
    <w:rsid w:val="00B45BBB"/>
    <w:rsid w:val="00B4677B"/>
    <w:rsid w:val="00B467C7"/>
    <w:rsid w:val="00B47A3D"/>
    <w:rsid w:val="00B50D88"/>
    <w:rsid w:val="00B54880"/>
    <w:rsid w:val="00B6047F"/>
    <w:rsid w:val="00B61D84"/>
    <w:rsid w:val="00B630D0"/>
    <w:rsid w:val="00B63FAD"/>
    <w:rsid w:val="00B64243"/>
    <w:rsid w:val="00B643EB"/>
    <w:rsid w:val="00B64441"/>
    <w:rsid w:val="00B65A6D"/>
    <w:rsid w:val="00B6673C"/>
    <w:rsid w:val="00B66A82"/>
    <w:rsid w:val="00B73455"/>
    <w:rsid w:val="00B73910"/>
    <w:rsid w:val="00B73FDA"/>
    <w:rsid w:val="00B7428B"/>
    <w:rsid w:val="00B76108"/>
    <w:rsid w:val="00B76CEA"/>
    <w:rsid w:val="00B77211"/>
    <w:rsid w:val="00B7788E"/>
    <w:rsid w:val="00B77999"/>
    <w:rsid w:val="00B77CF9"/>
    <w:rsid w:val="00B801EC"/>
    <w:rsid w:val="00B809C2"/>
    <w:rsid w:val="00B829AF"/>
    <w:rsid w:val="00B83BAA"/>
    <w:rsid w:val="00B85645"/>
    <w:rsid w:val="00B863FB"/>
    <w:rsid w:val="00B8700B"/>
    <w:rsid w:val="00B87223"/>
    <w:rsid w:val="00B92DB8"/>
    <w:rsid w:val="00B9337C"/>
    <w:rsid w:val="00B93B7D"/>
    <w:rsid w:val="00BA1D02"/>
    <w:rsid w:val="00BA292F"/>
    <w:rsid w:val="00BA5351"/>
    <w:rsid w:val="00BA7484"/>
    <w:rsid w:val="00BA7FCB"/>
    <w:rsid w:val="00BB755A"/>
    <w:rsid w:val="00BB799B"/>
    <w:rsid w:val="00BC1F1D"/>
    <w:rsid w:val="00BC2A8F"/>
    <w:rsid w:val="00BC540D"/>
    <w:rsid w:val="00BC5FD4"/>
    <w:rsid w:val="00BC5FF8"/>
    <w:rsid w:val="00BC647A"/>
    <w:rsid w:val="00BC6618"/>
    <w:rsid w:val="00BC6C8D"/>
    <w:rsid w:val="00BC6F3D"/>
    <w:rsid w:val="00BD0A42"/>
    <w:rsid w:val="00BD29C0"/>
    <w:rsid w:val="00BD3B27"/>
    <w:rsid w:val="00BD4D70"/>
    <w:rsid w:val="00BD500C"/>
    <w:rsid w:val="00BD50AA"/>
    <w:rsid w:val="00BD7A51"/>
    <w:rsid w:val="00BE51EC"/>
    <w:rsid w:val="00BE75CB"/>
    <w:rsid w:val="00BF2FFF"/>
    <w:rsid w:val="00BF3138"/>
    <w:rsid w:val="00BF3B1B"/>
    <w:rsid w:val="00BF55B6"/>
    <w:rsid w:val="00C013E5"/>
    <w:rsid w:val="00C0719C"/>
    <w:rsid w:val="00C1082A"/>
    <w:rsid w:val="00C10B71"/>
    <w:rsid w:val="00C12734"/>
    <w:rsid w:val="00C12B70"/>
    <w:rsid w:val="00C1498C"/>
    <w:rsid w:val="00C15285"/>
    <w:rsid w:val="00C15469"/>
    <w:rsid w:val="00C1687E"/>
    <w:rsid w:val="00C1732F"/>
    <w:rsid w:val="00C20907"/>
    <w:rsid w:val="00C22E0D"/>
    <w:rsid w:val="00C25ED1"/>
    <w:rsid w:val="00C30704"/>
    <w:rsid w:val="00C347FA"/>
    <w:rsid w:val="00C35EB1"/>
    <w:rsid w:val="00C36291"/>
    <w:rsid w:val="00C36F58"/>
    <w:rsid w:val="00C43592"/>
    <w:rsid w:val="00C45255"/>
    <w:rsid w:val="00C45CC8"/>
    <w:rsid w:val="00C473FA"/>
    <w:rsid w:val="00C50036"/>
    <w:rsid w:val="00C537FC"/>
    <w:rsid w:val="00C55575"/>
    <w:rsid w:val="00C60608"/>
    <w:rsid w:val="00C619A2"/>
    <w:rsid w:val="00C632F5"/>
    <w:rsid w:val="00C6629B"/>
    <w:rsid w:val="00C70C14"/>
    <w:rsid w:val="00C71507"/>
    <w:rsid w:val="00C82334"/>
    <w:rsid w:val="00C82608"/>
    <w:rsid w:val="00C872C2"/>
    <w:rsid w:val="00C876AD"/>
    <w:rsid w:val="00C87BBD"/>
    <w:rsid w:val="00C910C3"/>
    <w:rsid w:val="00C97496"/>
    <w:rsid w:val="00C97DE6"/>
    <w:rsid w:val="00CA0EC6"/>
    <w:rsid w:val="00CA103E"/>
    <w:rsid w:val="00CA15E2"/>
    <w:rsid w:val="00CA4AAA"/>
    <w:rsid w:val="00CA6811"/>
    <w:rsid w:val="00CA6AAD"/>
    <w:rsid w:val="00CB1C76"/>
    <w:rsid w:val="00CC06B5"/>
    <w:rsid w:val="00CC2049"/>
    <w:rsid w:val="00CC3BA4"/>
    <w:rsid w:val="00CC4A29"/>
    <w:rsid w:val="00CC7F9E"/>
    <w:rsid w:val="00CD571E"/>
    <w:rsid w:val="00CD6957"/>
    <w:rsid w:val="00CE56B9"/>
    <w:rsid w:val="00CE7391"/>
    <w:rsid w:val="00CF0826"/>
    <w:rsid w:val="00CF0B8F"/>
    <w:rsid w:val="00CF1EE2"/>
    <w:rsid w:val="00CF2149"/>
    <w:rsid w:val="00CF39C6"/>
    <w:rsid w:val="00CF5D15"/>
    <w:rsid w:val="00CF6F3A"/>
    <w:rsid w:val="00CF72BB"/>
    <w:rsid w:val="00CF74FF"/>
    <w:rsid w:val="00D00874"/>
    <w:rsid w:val="00D0274C"/>
    <w:rsid w:val="00D02932"/>
    <w:rsid w:val="00D04C14"/>
    <w:rsid w:val="00D05941"/>
    <w:rsid w:val="00D06420"/>
    <w:rsid w:val="00D0684A"/>
    <w:rsid w:val="00D143B7"/>
    <w:rsid w:val="00D1526F"/>
    <w:rsid w:val="00D17FB4"/>
    <w:rsid w:val="00D20648"/>
    <w:rsid w:val="00D213BF"/>
    <w:rsid w:val="00D21E82"/>
    <w:rsid w:val="00D26CFC"/>
    <w:rsid w:val="00D26E2E"/>
    <w:rsid w:val="00D30FDF"/>
    <w:rsid w:val="00D32541"/>
    <w:rsid w:val="00D3376E"/>
    <w:rsid w:val="00D33E83"/>
    <w:rsid w:val="00D356AF"/>
    <w:rsid w:val="00D36B9D"/>
    <w:rsid w:val="00D40881"/>
    <w:rsid w:val="00D408DC"/>
    <w:rsid w:val="00D42673"/>
    <w:rsid w:val="00D42A18"/>
    <w:rsid w:val="00D450D8"/>
    <w:rsid w:val="00D45E4A"/>
    <w:rsid w:val="00D503E3"/>
    <w:rsid w:val="00D506DB"/>
    <w:rsid w:val="00D51440"/>
    <w:rsid w:val="00D53F4F"/>
    <w:rsid w:val="00D54344"/>
    <w:rsid w:val="00D6287A"/>
    <w:rsid w:val="00D6536F"/>
    <w:rsid w:val="00D708AF"/>
    <w:rsid w:val="00D70C51"/>
    <w:rsid w:val="00D71259"/>
    <w:rsid w:val="00D7145E"/>
    <w:rsid w:val="00D715A0"/>
    <w:rsid w:val="00D743B9"/>
    <w:rsid w:val="00D7569D"/>
    <w:rsid w:val="00D76D21"/>
    <w:rsid w:val="00D801F0"/>
    <w:rsid w:val="00D830F0"/>
    <w:rsid w:val="00D84037"/>
    <w:rsid w:val="00D85777"/>
    <w:rsid w:val="00D9207A"/>
    <w:rsid w:val="00D956D3"/>
    <w:rsid w:val="00D959C1"/>
    <w:rsid w:val="00D973A3"/>
    <w:rsid w:val="00D97A0D"/>
    <w:rsid w:val="00DA73FB"/>
    <w:rsid w:val="00DA75B0"/>
    <w:rsid w:val="00DB0C8B"/>
    <w:rsid w:val="00DB2FF7"/>
    <w:rsid w:val="00DB70C5"/>
    <w:rsid w:val="00DC0305"/>
    <w:rsid w:val="00DC08AB"/>
    <w:rsid w:val="00DC0D36"/>
    <w:rsid w:val="00DC1686"/>
    <w:rsid w:val="00DC3273"/>
    <w:rsid w:val="00DC331A"/>
    <w:rsid w:val="00DC6CDF"/>
    <w:rsid w:val="00DD0F81"/>
    <w:rsid w:val="00DD4356"/>
    <w:rsid w:val="00DD49C6"/>
    <w:rsid w:val="00DD57D0"/>
    <w:rsid w:val="00DE221F"/>
    <w:rsid w:val="00DE27C1"/>
    <w:rsid w:val="00DE2DE7"/>
    <w:rsid w:val="00DE4E12"/>
    <w:rsid w:val="00DE63B8"/>
    <w:rsid w:val="00DE79FD"/>
    <w:rsid w:val="00DF0BB5"/>
    <w:rsid w:val="00DF6262"/>
    <w:rsid w:val="00DF6D3D"/>
    <w:rsid w:val="00DF7A48"/>
    <w:rsid w:val="00E01F3D"/>
    <w:rsid w:val="00E05AB0"/>
    <w:rsid w:val="00E0749F"/>
    <w:rsid w:val="00E07788"/>
    <w:rsid w:val="00E07911"/>
    <w:rsid w:val="00E15684"/>
    <w:rsid w:val="00E15F22"/>
    <w:rsid w:val="00E16F58"/>
    <w:rsid w:val="00E21D3A"/>
    <w:rsid w:val="00E270B2"/>
    <w:rsid w:val="00E27658"/>
    <w:rsid w:val="00E27F88"/>
    <w:rsid w:val="00E34E0B"/>
    <w:rsid w:val="00E35012"/>
    <w:rsid w:val="00E35B11"/>
    <w:rsid w:val="00E361F2"/>
    <w:rsid w:val="00E37238"/>
    <w:rsid w:val="00E400D8"/>
    <w:rsid w:val="00E41373"/>
    <w:rsid w:val="00E43098"/>
    <w:rsid w:val="00E44380"/>
    <w:rsid w:val="00E44F15"/>
    <w:rsid w:val="00E47D06"/>
    <w:rsid w:val="00E50BC9"/>
    <w:rsid w:val="00E54F1A"/>
    <w:rsid w:val="00E560CA"/>
    <w:rsid w:val="00E567A4"/>
    <w:rsid w:val="00E57406"/>
    <w:rsid w:val="00E65D07"/>
    <w:rsid w:val="00E66B68"/>
    <w:rsid w:val="00E71280"/>
    <w:rsid w:val="00E75752"/>
    <w:rsid w:val="00E75CB4"/>
    <w:rsid w:val="00E77671"/>
    <w:rsid w:val="00E7775B"/>
    <w:rsid w:val="00E80798"/>
    <w:rsid w:val="00E80DD0"/>
    <w:rsid w:val="00E84A6B"/>
    <w:rsid w:val="00E85EF6"/>
    <w:rsid w:val="00E92BE0"/>
    <w:rsid w:val="00E93635"/>
    <w:rsid w:val="00E93794"/>
    <w:rsid w:val="00E95042"/>
    <w:rsid w:val="00EA2247"/>
    <w:rsid w:val="00EA32F7"/>
    <w:rsid w:val="00EB0DCC"/>
    <w:rsid w:val="00EB23FB"/>
    <w:rsid w:val="00EB2864"/>
    <w:rsid w:val="00EB6C8D"/>
    <w:rsid w:val="00EB799D"/>
    <w:rsid w:val="00EC1566"/>
    <w:rsid w:val="00EC1D57"/>
    <w:rsid w:val="00EC4325"/>
    <w:rsid w:val="00EC790E"/>
    <w:rsid w:val="00EC7D8D"/>
    <w:rsid w:val="00ED1536"/>
    <w:rsid w:val="00ED1EE3"/>
    <w:rsid w:val="00EE1551"/>
    <w:rsid w:val="00EE43B6"/>
    <w:rsid w:val="00EE5054"/>
    <w:rsid w:val="00EF176A"/>
    <w:rsid w:val="00EF337A"/>
    <w:rsid w:val="00EF42D5"/>
    <w:rsid w:val="00EF435E"/>
    <w:rsid w:val="00F008D4"/>
    <w:rsid w:val="00F05D1D"/>
    <w:rsid w:val="00F06B93"/>
    <w:rsid w:val="00F07C2C"/>
    <w:rsid w:val="00F10A3B"/>
    <w:rsid w:val="00F10DE6"/>
    <w:rsid w:val="00F12AFF"/>
    <w:rsid w:val="00F12E01"/>
    <w:rsid w:val="00F14F79"/>
    <w:rsid w:val="00F14F82"/>
    <w:rsid w:val="00F158EF"/>
    <w:rsid w:val="00F20314"/>
    <w:rsid w:val="00F2136E"/>
    <w:rsid w:val="00F27404"/>
    <w:rsid w:val="00F320FC"/>
    <w:rsid w:val="00F3390D"/>
    <w:rsid w:val="00F34C97"/>
    <w:rsid w:val="00F35AA1"/>
    <w:rsid w:val="00F35B29"/>
    <w:rsid w:val="00F36B7C"/>
    <w:rsid w:val="00F37A52"/>
    <w:rsid w:val="00F40F99"/>
    <w:rsid w:val="00F42705"/>
    <w:rsid w:val="00F43BF0"/>
    <w:rsid w:val="00F43E7C"/>
    <w:rsid w:val="00F45045"/>
    <w:rsid w:val="00F46382"/>
    <w:rsid w:val="00F46390"/>
    <w:rsid w:val="00F47EBF"/>
    <w:rsid w:val="00F50936"/>
    <w:rsid w:val="00F6556D"/>
    <w:rsid w:val="00F67103"/>
    <w:rsid w:val="00F749A9"/>
    <w:rsid w:val="00F74EB5"/>
    <w:rsid w:val="00F7537E"/>
    <w:rsid w:val="00F75AEA"/>
    <w:rsid w:val="00F8086B"/>
    <w:rsid w:val="00F81517"/>
    <w:rsid w:val="00F825AA"/>
    <w:rsid w:val="00F84277"/>
    <w:rsid w:val="00F85A20"/>
    <w:rsid w:val="00F90894"/>
    <w:rsid w:val="00F927B0"/>
    <w:rsid w:val="00F936AF"/>
    <w:rsid w:val="00F94057"/>
    <w:rsid w:val="00F967CC"/>
    <w:rsid w:val="00F97FE3"/>
    <w:rsid w:val="00FA32AD"/>
    <w:rsid w:val="00FA32D8"/>
    <w:rsid w:val="00FB477D"/>
    <w:rsid w:val="00FB557E"/>
    <w:rsid w:val="00FB5F9D"/>
    <w:rsid w:val="00FB734A"/>
    <w:rsid w:val="00FB7AB1"/>
    <w:rsid w:val="00FC1348"/>
    <w:rsid w:val="00FC174E"/>
    <w:rsid w:val="00FC3A2A"/>
    <w:rsid w:val="00FC66F8"/>
    <w:rsid w:val="00FD2BB1"/>
    <w:rsid w:val="00FD2DE7"/>
    <w:rsid w:val="00FD388E"/>
    <w:rsid w:val="00FE0E33"/>
    <w:rsid w:val="00FE28B8"/>
    <w:rsid w:val="00FE3BDC"/>
    <w:rsid w:val="00FE58D6"/>
    <w:rsid w:val="00FF031D"/>
    <w:rsid w:val="00FF1C20"/>
    <w:rsid w:val="00FF2063"/>
    <w:rsid w:val="00FF2EF7"/>
    <w:rsid w:val="00FF406E"/>
    <w:rsid w:val="00FF4213"/>
    <w:rsid w:val="00FF45C2"/>
    <w:rsid w:val="00FF628A"/>
    <w:rsid w:val="01886F08"/>
    <w:rsid w:val="04D243CD"/>
    <w:rsid w:val="0D666A36"/>
    <w:rsid w:val="0FD9517F"/>
    <w:rsid w:val="21D371E5"/>
    <w:rsid w:val="24FD0385"/>
    <w:rsid w:val="26BA4618"/>
    <w:rsid w:val="2B501DBA"/>
    <w:rsid w:val="2BF75803"/>
    <w:rsid w:val="2E882759"/>
    <w:rsid w:val="31B610A8"/>
    <w:rsid w:val="364F242A"/>
    <w:rsid w:val="3745246E"/>
    <w:rsid w:val="37C15AE7"/>
    <w:rsid w:val="389657B9"/>
    <w:rsid w:val="419C0540"/>
    <w:rsid w:val="49EE0421"/>
    <w:rsid w:val="4A276BB1"/>
    <w:rsid w:val="4BD74DD3"/>
    <w:rsid w:val="54E651C5"/>
    <w:rsid w:val="58B258AC"/>
    <w:rsid w:val="59FD4755"/>
    <w:rsid w:val="5FB826EB"/>
    <w:rsid w:val="620C764D"/>
    <w:rsid w:val="62B24313"/>
    <w:rsid w:val="6AD729E7"/>
    <w:rsid w:val="6B1C2712"/>
    <w:rsid w:val="6F0E451C"/>
    <w:rsid w:val="72445D2C"/>
    <w:rsid w:val="748A3FA0"/>
    <w:rsid w:val="75D879A9"/>
    <w:rsid w:val="76A72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99D6D13"/>
  <w15:docId w15:val="{BFD98398-E111-4ACC-8D86-3D2B108B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a4">
    <w:name w:val="批注文字 字符"/>
    <w:basedOn w:val="a0"/>
    <w:link w:val="a3"/>
    <w:uiPriority w:val="99"/>
    <w:semiHidden/>
    <w:qFormat/>
    <w:rPr>
      <w:rFonts w:ascii="Times New Roman" w:eastAsia="宋体" w:hAnsi="Times New Roman" w:cs="Times New Roman"/>
      <w:szCs w:val="20"/>
    </w:rPr>
  </w:style>
  <w:style w:type="character" w:customStyle="1" w:styleId="ac">
    <w:name w:val="批注主题 字符"/>
    <w:basedOn w:val="a4"/>
    <w:link w:val="ab"/>
    <w:uiPriority w:val="99"/>
    <w:semiHidden/>
    <w:qFormat/>
    <w:rPr>
      <w:rFonts w:ascii="Times New Roman" w:eastAsia="宋体" w:hAnsi="Times New Roman" w:cs="Times New Roman"/>
      <w:b/>
      <w:bCs/>
      <w:szCs w:val="20"/>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paragraph" w:styleId="af">
    <w:name w:val="List Paragraph"/>
    <w:basedOn w:val="a"/>
    <w:uiPriority w:val="34"/>
    <w:qFormat/>
    <w:pPr>
      <w:ind w:firstLineChars="200" w:firstLine="420"/>
    </w:pPr>
  </w:style>
  <w:style w:type="paragraph" w:customStyle="1" w:styleId="1">
    <w:name w:val="修订1"/>
    <w:hidden/>
    <w:uiPriority w:val="99"/>
    <w:semiHidden/>
    <w:qFormat/>
    <w:rPr>
      <w:rFonts w:ascii="Times New Roman" w:eastAsia="宋体" w:hAnsi="Times New Roman" w:cs="Times New Roman"/>
      <w:kern w:val="2"/>
      <w:sz w:val="21"/>
    </w:rPr>
  </w:style>
  <w:style w:type="paragraph" w:customStyle="1" w:styleId="21">
    <w:name w:val="修订2"/>
    <w:hidden/>
    <w:uiPriority w:val="99"/>
    <w:unhideWhenUsed/>
    <w:qFormat/>
    <w:rPr>
      <w:rFonts w:ascii="Times New Roman" w:eastAsia="宋体" w:hAnsi="Times New Roman" w:cs="Times New Roman"/>
      <w:kern w:val="2"/>
      <w:sz w:val="21"/>
    </w:rPr>
  </w:style>
  <w:style w:type="paragraph" w:customStyle="1" w:styleId="31">
    <w:name w:val="修订3"/>
    <w:hidden/>
    <w:uiPriority w:val="99"/>
    <w:unhideWhenUsed/>
    <w:qFormat/>
    <w:rPr>
      <w:rFonts w:ascii="Times New Roman" w:eastAsia="宋体" w:hAnsi="Times New Roman" w:cs="Times New Roman"/>
      <w:kern w:val="2"/>
      <w:sz w:val="21"/>
    </w:rPr>
  </w:style>
  <w:style w:type="paragraph" w:customStyle="1" w:styleId="4">
    <w:name w:val="修订4"/>
    <w:hidden/>
    <w:uiPriority w:val="99"/>
    <w:unhideWhenUsed/>
    <w:qFormat/>
    <w:rPr>
      <w:rFonts w:ascii="Times New Roman" w:eastAsia="宋体" w:hAnsi="Times New Roman" w:cs="Times New Roman"/>
      <w:kern w:val="2"/>
      <w:sz w:val="21"/>
    </w:rPr>
  </w:style>
  <w:style w:type="paragraph" w:customStyle="1" w:styleId="5">
    <w:name w:val="修订5"/>
    <w:hidden/>
    <w:uiPriority w:val="99"/>
    <w:unhideWhenUsed/>
    <w:qFormat/>
    <w:rPr>
      <w:rFonts w:ascii="Times New Roman" w:eastAsia="宋体" w:hAnsi="Times New Roman" w:cs="Times New Roman"/>
      <w:kern w:val="2"/>
      <w:sz w:val="21"/>
    </w:rPr>
  </w:style>
  <w:style w:type="paragraph" w:customStyle="1" w:styleId="6">
    <w:name w:val="修订6"/>
    <w:hidden/>
    <w:uiPriority w:val="99"/>
    <w:unhideWhenUsed/>
    <w:qFormat/>
    <w:rPr>
      <w:rFonts w:ascii="Times New Roman" w:eastAsia="宋体" w:hAnsi="Times New Roman" w:cs="Times New Roman"/>
      <w:kern w:val="2"/>
      <w:sz w:val="21"/>
    </w:rPr>
  </w:style>
  <w:style w:type="paragraph" w:customStyle="1" w:styleId="7">
    <w:name w:val="修订7"/>
    <w:hidden/>
    <w:uiPriority w:val="99"/>
    <w:unhideWhenUsed/>
    <w:qFormat/>
    <w:rPr>
      <w:rFonts w:ascii="Times New Roman" w:eastAsia="宋体" w:hAnsi="Times New Roman" w:cs="Times New Roman"/>
      <w:kern w:val="2"/>
      <w:sz w:val="21"/>
    </w:rPr>
  </w:style>
  <w:style w:type="paragraph" w:styleId="af0">
    <w:name w:val="Revision"/>
    <w:hidden/>
    <w:uiPriority w:val="99"/>
    <w:unhideWhenUsed/>
    <w:rsid w:val="00456319"/>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4ea363b8-b207-4b9e-b112-04eefb82bc61</errorID>
      <errorWord>民</errorWord>
      <group>L1_Word</group>
      <groupName>字词问题</groupName>
      <ability>L2_Typo</ability>
      <abilityName>字词错误</abilityName>
      <candidateList>
        <item>民币</item>
      </candidateList>
      <explain/>
      <paraID>6DAFF592</paraID>
      <start>244</start>
      <end>247</end>
      <status>modified</status>
      <modifiedWord>民币</modifiedWord>
      <trackRevisions>true</trackRevisions>
    </reviewItem>
    <reviewItem>
      <errorID>458c51c6-b84e-40d3-8f7e-81a69e828b06</errorID>
      <errorWord>国资委国企改革</errorWord>
      <group>L1_Political</group>
      <groupName>政治性问题</groupName>
      <ability>L2_Keyword</ability>
      <abilityName>固定表述</abilityName>
      <candidateList>
        <item>国资国企改革</item>
      </candidateList>
      <explain>词汇“国资国企改革”在特定场景下为固定表述形式，请确认此处的“国资委国企改革”是否存在不当。</explain>
      <paraID>41707217</paraID>
      <start>100</start>
      <end>107</end>
      <status>ignored</status>
      <modifiedWord/>
      <trackRevisions>false</trackRevisions>
    </reviewItem>
    <reviewItem>
      <errorID>08fed3cf-b21c-424d-9a28-23acc5c42c42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11D5AF01</paraID>
      <start>62</start>
      <end>63</end>
      <status>ignored</status>
      <modifiedWord/>
      <trackRevisions>false</trackRevisions>
    </reviewItem>
    <reviewItem>
      <errorID>bd231023-b112-468d-944d-1e5ddeb1e7c1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4DA77A40</paraID>
      <start>57</start>
      <end>58</end>
      <status>ignored</status>
      <modifiedWord/>
      <trackRevisions>false</trackRevisions>
    </reviewItem>
    <reviewItem>
      <errorID>10a6689c-bc59-4f06-a8ae-31140b73e0d4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20AE6529</paraID>
      <start>0</start>
      <end>2</end>
      <status>ignored</status>
      <modifiedWord/>
      <trackRevisions>false</trackRevisions>
    </reviewItem>
    <reviewItem>
      <errorID>d074dd3f-b88c-4f6e-a97a-1067c0ad1482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75B4A876</paraID>
      <start>0</start>
      <end>2</end>
      <status>ignored</status>
      <modifiedWord/>
      <trackRevisions>false</trackRevisions>
    </reviewItem>
    <reviewItem>
      <errorID>04b67770-44cd-4ff3-9de3-16a00881147e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226029B5</paraID>
      <start>0</start>
      <end>2</end>
      <status>ignored</status>
      <modifiedWord/>
      <trackRevisions>false</trackRevisions>
    </reviewItem>
    <reviewItem>
      <errorID>d937450f-e543-4f02-bff5-116f39737217</errorID>
      <errorWord>ii</errorWord>
      <group>L1_Knowledge</group>
      <groupName>知识性问题</groupName>
      <ability>L2_Knowledge</ability>
      <abilityName>其他知识</abilityName>
      <candidateList>
        <item>ⅱ</item>
      </candidateList>
      <explain/>
      <paraID>5E2CC7BD</paraID>
      <start>83</start>
      <end>85</end>
      <status>ignored</status>
      <modifiedWord/>
      <trackRevisions>false</trackRevisions>
    </reviewItem>
    <reviewItem>
      <errorID>902ff3f9-2c93-4709-a33b-3427faf636f2</errorID>
      <errorWord>;</errorWord>
      <group>L1_Format</group>
      <groupName>格式问题</groupName>
      <ability>L2_HalfPunc</ability>
      <abilityName>全半角检查</abilityName>
      <candidateList>
        <item>；</item>
      </candidateList>
      <explain>文本全半角错误。</explain>
      <paraID>5E2CC7BD</paraID>
      <start>108</start>
      <end>110</end>
      <status>modified</status>
      <modifiedWord>；</modifiedWord>
      <trackRevisions>true</trackRevisions>
    </reviewItem>
    <reviewItem>
      <errorID>945e0de6-5056-4fc0-8442-7e610dcf171e</errorID>
      <errorWord>iii</errorWord>
      <group>L1_Knowledge</group>
      <groupName>知识性问题</groupName>
      <ability>L2_Knowledge</ability>
      <abilityName>其他知识</abilityName>
      <candidateList>
        <item>ⅲ</item>
      </candidateList>
      <explain/>
      <paraID>5E2CC7BD</paraID>
      <start>112</start>
      <end>115</end>
      <status>unmodified</status>
      <modifiedWord/>
      <trackRevisions>false</trackRevisions>
    </reviewItem>
    <reviewItem>
      <errorID>83e9e69a-0980-4ba2-afa0-72198513198a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76F78655</paraID>
      <start>0</start>
      <end>2</end>
      <status>unmodified</status>
      <modifiedWord/>
      <trackRevisions>false</trackRevisions>
    </reviewItem>
    <reviewItem>
      <errorID>82ee6a6c-ec5f-4b4b-b8a4-a0761d771b90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6450C6B9</paraID>
      <start>0</start>
      <end>2</end>
      <status>unmodified</status>
      <modifiedWord/>
      <trackRevisions>false</trackRevisions>
    </reviewItem>
    <reviewItem>
      <errorID>946f2590-01cf-481e-bc08-e49b35d60a4e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21D7F143</paraID>
      <start>0</start>
      <end>2</end>
      <status>unmodified</status>
      <modifiedWord/>
      <trackRevisions>false</trackRevisions>
    </reviewItem>
    <reviewItem>
      <errorID>54a517e2-ac6f-4c4a-8515-36f20e02af53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483D39C1</paraID>
      <start>0</start>
      <end>2</end>
      <status>unmodified</status>
      <modifiedWord/>
      <trackRevisions>false</trackRevisions>
    </reviewItem>
    <reviewItem>
      <errorID>602f72a7-d776-48b5-8fb2-63eae98231dd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5794F5D4</paraID>
      <start>0</start>
      <end>2</end>
      <status>unmodified</status>
      <modifiedWord/>
      <trackRevisions>false</trackRevisions>
    </reviewItem>
    <reviewItem>
      <errorID>deefcedf-1acc-4808-9d3a-c755ffed85ee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24D421E4</paraID>
      <start>0</start>
      <end>2</end>
      <status>unmodified</status>
      <modifiedWord/>
      <trackRevisions>false</trackRevisions>
    </reviewItem>
    <reviewItem>
      <errorID>c44b2791-94f3-4f0d-8d28-c2ce240f16a3</errorID>
      <errorWord>ii</errorWord>
      <group>L1_Knowledge</group>
      <groupName>知识性问题</groupName>
      <ability>L2_Knowledge</ability>
      <abilityName>其他知识</abilityName>
      <candidateList>
        <item>ⅱ</item>
      </candidateList>
      <explain/>
      <paraID>7924FA19</paraID>
      <start>85</start>
      <end>87</end>
      <status>unmodified</status>
      <modifiedWord/>
      <trackRevisions>false</trackRevisions>
    </reviewItem>
    <reviewItem>
      <errorID>4b77fc53-7c15-4eee-82c9-b691b64deb62</errorID>
      <errorWord>;</errorWord>
      <group>L1_Format</group>
      <groupName>格式问题</groupName>
      <ability>L2_HalfPunc</ability>
      <abilityName>全半角检查</abilityName>
      <candidateList>
        <item>；</item>
      </candidateList>
      <explain>文本全半角错误。</explain>
      <paraID>7924FA19</paraID>
      <start>110</start>
      <end>111</end>
      <status>unmodified</status>
      <modifiedWord/>
      <trackRevisions>false</trackRevisions>
    </reviewItem>
    <reviewItem>
      <errorID>33f31f5a-b9cf-4b33-a873-636afd8fa2df</errorID>
      <errorWord>iii</errorWord>
      <group>L1_Knowledge</group>
      <groupName>知识性问题</groupName>
      <ability>L2_Knowledge</ability>
      <abilityName>其他知识</abilityName>
      <candidateList>
        <item>ⅲ</item>
      </candidateList>
      <explain/>
      <paraID>7924FA19</paraID>
      <start>113</start>
      <end>116</end>
      <status>unmodified</status>
      <modifiedWord/>
      <trackRevisions>false</trackRevisions>
    </reviewItem>
    <reviewItem>
      <errorID>d3e7d5fa-e3b8-4d85-9142-f297f573e0c6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1A9B7BDC</paraID>
      <start>0</start>
      <end>2</end>
      <status>unmodified</status>
      <modifiedWord/>
      <trackRevisions>false</trackRevisions>
    </reviewItem>
    <reviewItem>
      <errorID>1e477bfd-b99b-4d0a-a526-5793c2e40e33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340C1755</paraID>
      <start>0</start>
      <end>2</end>
      <status>unmodified</status>
      <modifiedWord/>
      <trackRevisions>false</trackRevisions>
    </reviewItem>
    <reviewItem>
      <errorID>95b5061a-5110-4ccd-b5dd-cc1f65ab3d19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3205FEF7</paraID>
      <start>0</start>
      <end>2</end>
      <status>unmodified</status>
      <modifiedWord/>
      <trackRevisions>false</trackRevisions>
    </reviewItem>
    <reviewItem>
      <errorID>9554552c-d645-4ee9-9beb-e138b007bd8b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7F9A2F8A</paraID>
      <start>0</start>
      <end>2</end>
      <status>unmodified</status>
      <modifiedWord/>
      <trackRevisions>false</trackRevisions>
    </reviewItem>
    <reviewItem>
      <errorID>e77c4d3f-5b15-42cb-8103-83657773cbbd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3C36493D</paraID>
      <start>0</start>
      <end>2</end>
      <status>unmodified</status>
      <modifiedWord/>
      <trackRevisions>false</trackRevisions>
    </reviewItem>
    <reviewItem>
      <errorID>56cb7ea6-acc8-42bc-80ba-5a7526acbb6f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71A2A7C</paraID>
      <start>0</start>
      <end>2</end>
      <status>unmodified</status>
      <modifiedWord/>
      <trackRevisions>false</trackRevisions>
    </reviewItem>
    <reviewItem>
      <errorID>eec0945f-4524-46ba-b17c-7c48dabe3f6e</errorID>
      <errorWord>ii</errorWord>
      <group>L1_Knowledge</group>
      <groupName>知识性问题</groupName>
      <ability>L2_Knowledge</ability>
      <abilityName>其他知识</abilityName>
      <candidateList>
        <item>ⅱ</item>
      </candidateList>
      <explain/>
      <paraID>11DC9D68</paraID>
      <start>83</start>
      <end>85</end>
      <status>unmodified</status>
      <modifiedWord/>
      <trackRevisions>false</trackRevisions>
    </reviewItem>
    <reviewItem>
      <errorID>8926d356-ba11-4b44-a4b9-5846f545f4c4</errorID>
      <errorWord>;</errorWord>
      <group>L1_Format</group>
      <groupName>格式问题</groupName>
      <ability>L2_HalfPunc</ability>
      <abilityName>全半角检查</abilityName>
      <candidateList>
        <item>；</item>
      </candidateList>
      <explain>文本全半角错误。</explain>
      <paraID>11DC9D68</paraID>
      <start>108</start>
      <end>109</end>
      <status>unmodified</status>
      <modifiedWord/>
      <trackRevisions>false</trackRevisions>
    </reviewItem>
    <reviewItem>
      <errorID>71f8d291-7589-430b-8af5-c68e5c9f175c</errorID>
      <errorWord>iii</errorWord>
      <group>L1_Knowledge</group>
      <groupName>知识性问题</groupName>
      <ability>L2_Knowledge</ability>
      <abilityName>其他知识</abilityName>
      <candidateList>
        <item>ⅲ</item>
      </candidateList>
      <explain/>
      <paraID>11DC9D68</paraID>
      <start>111</start>
      <end>114</end>
      <status>unmodified</status>
      <modifiedWord/>
      <trackRevisions>false</trackRevisions>
    </reviewItem>
    <reviewItem>
      <errorID>bcf2c6a1-d4ed-4d98-895e-b5afd0d81ca6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578F67C3</paraID>
      <start>0</start>
      <end>2</end>
      <status>unmodified</status>
      <modifiedWord/>
      <trackRevisions>false</trackRevisions>
    </reviewItem>
    <reviewItem>
      <errorID>da059467-572e-45fd-b464-47abf32f371d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2F459351</paraID>
      <start>0</start>
      <end>2</end>
      <status>unmodified</status>
      <modifiedWord/>
      <trackRevisions>false</trackRevisions>
    </reviewItem>
    <reviewItem>
      <errorID>e116bded-0ead-4a2e-9586-d592ae3130f2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4E00777B</paraID>
      <start>0</start>
      <end>2</end>
      <status>unmodified</status>
      <modifiedWord/>
      <trackRevisions>false</trackRevisions>
    </reviewItem>
    <reviewItem>
      <errorID>52e9f805-59f6-4de4-a913-52f0604b9a31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7B2731B</paraID>
      <start>0</start>
      <end>2</end>
      <status>unmodified</status>
      <modifiedWord/>
      <trackRevisions>false</trackRevisions>
    </reviewItem>
    <reviewItem>
      <errorID>aa447160-216f-40f4-bd5a-3c63d764d520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63F69531</paraID>
      <start>0</start>
      <end>2</end>
      <status>unmodified</status>
      <modifiedWord/>
      <trackRevisions>false</trackRevisions>
    </reviewItem>
    <reviewItem>
      <errorID>de1aa4d5-e5f8-42b0-9183-9b727a2bd538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5C67676</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5DD66A-35AB-4DD0-B1CE-6B3B96220809}">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571</Words>
  <Characters>3256</Characters>
  <Application>Microsoft Office Word</Application>
  <DocSecurity>0</DocSecurity>
  <Lines>27</Lines>
  <Paragraphs>7</Paragraphs>
  <ScaleCrop>false</ScaleCrop>
  <Company>Hewlett-Packard Company</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陈建泉</dc:creator>
  <cp:lastModifiedBy>林德生</cp:lastModifiedBy>
  <cp:revision>73</cp:revision>
  <dcterms:created xsi:type="dcterms:W3CDTF">2024-05-13T06:55:00Z</dcterms:created>
  <dcterms:modified xsi:type="dcterms:W3CDTF">2026-03-27T09:43:00Z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69027CEC8647427CB9CC16AD26C2E57B</vt:lpwstr>
  </property>
  <property fmtid="{D5CDD505-2E9C-101B-9397-08002B2CF9AE}" pid="4" name="KSOTemplateDocerSaveRecord">
    <vt:lpwstr>eyJoZGlkIjoiMWM1YTQ4YTJjM2Q3ZDlhOWU3ZmExZDUyMGIwNDIxZDUiLCJ1c2VySWQiOiI3NjI5MjE4MzUifQ==</vt:lpwstr>
  </property>
</Properties>
</file>