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6A14F" w14:textId="77777777" w:rsidR="004845EB" w:rsidRDefault="00000000">
      <w:pPr>
        <w:widowControl/>
        <w:spacing w:line="360" w:lineRule="auto"/>
        <w:jc w:val="center"/>
        <w:rPr>
          <w:rFonts w:ascii="方正小标宋简体" w:eastAsia="方正小标宋简体" w:hAnsi="宋体" w:cs="宋体" w:hint="eastAsia"/>
          <w:kern w:val="0"/>
          <w:sz w:val="36"/>
          <w:szCs w:val="36"/>
          <w:lang w:bidi="ar"/>
        </w:rPr>
      </w:pPr>
      <w:r>
        <w:rPr>
          <w:rFonts w:ascii="方正小标宋简体" w:eastAsia="方正小标宋简体" w:hAnsi="宋体" w:cs="宋体" w:hint="eastAsia"/>
          <w:kern w:val="0"/>
          <w:sz w:val="36"/>
          <w:szCs w:val="36"/>
          <w:lang w:bidi="ar"/>
        </w:rPr>
        <w:t>东江环保股份有限公司</w:t>
      </w:r>
    </w:p>
    <w:p w14:paraId="2317163D" w14:textId="77777777" w:rsidR="004845EB" w:rsidRDefault="00000000">
      <w:pPr>
        <w:widowControl/>
        <w:spacing w:line="360" w:lineRule="auto"/>
        <w:jc w:val="center"/>
        <w:rPr>
          <w:rFonts w:ascii="方正小标宋简体" w:eastAsia="方正小标宋简体" w:hAnsi="宋体" w:cs="宋体" w:hint="eastAsia"/>
          <w:kern w:val="0"/>
          <w:sz w:val="36"/>
          <w:szCs w:val="36"/>
          <w:lang w:bidi="ar"/>
        </w:rPr>
      </w:pPr>
      <w:r>
        <w:rPr>
          <w:rFonts w:ascii="方正小标宋简体" w:eastAsia="方正小标宋简体" w:hAnsi="宋体" w:cs="宋体" w:hint="eastAsia"/>
          <w:kern w:val="0"/>
          <w:sz w:val="36"/>
          <w:szCs w:val="36"/>
          <w:lang w:bidi="ar"/>
        </w:rPr>
        <w:t>关于对广东省广</w:t>
      </w:r>
      <w:proofErr w:type="gramStart"/>
      <w:r>
        <w:rPr>
          <w:rFonts w:ascii="方正小标宋简体" w:eastAsia="方正小标宋简体" w:hAnsi="宋体" w:cs="宋体" w:hint="eastAsia"/>
          <w:kern w:val="0"/>
          <w:sz w:val="36"/>
          <w:szCs w:val="36"/>
          <w:lang w:bidi="ar"/>
        </w:rPr>
        <w:t>晟</w:t>
      </w:r>
      <w:proofErr w:type="gramEnd"/>
      <w:r>
        <w:rPr>
          <w:rFonts w:ascii="方正小标宋简体" w:eastAsia="方正小标宋简体" w:hAnsi="宋体" w:cs="宋体" w:hint="eastAsia"/>
          <w:kern w:val="0"/>
          <w:sz w:val="36"/>
          <w:szCs w:val="36"/>
          <w:lang w:bidi="ar"/>
        </w:rPr>
        <w:t>财务有限公司的</w:t>
      </w:r>
    </w:p>
    <w:p w14:paraId="47BCE106" w14:textId="77777777" w:rsidR="004845EB" w:rsidRDefault="00000000">
      <w:pPr>
        <w:widowControl/>
        <w:spacing w:line="360" w:lineRule="auto"/>
        <w:jc w:val="center"/>
        <w:rPr>
          <w:rFonts w:ascii="方正公文小标宋" w:eastAsia="方正公文小标宋" w:hAnsi="方正公文小标宋" w:cs="方正公文小标宋" w:hint="eastAsia"/>
          <w:sz w:val="36"/>
          <w:szCs w:val="36"/>
        </w:rPr>
      </w:pPr>
      <w:r>
        <w:rPr>
          <w:rFonts w:ascii="方正小标宋简体" w:eastAsia="方正小标宋简体" w:hAnsi="宋体" w:cs="宋体" w:hint="eastAsia"/>
          <w:kern w:val="0"/>
          <w:sz w:val="36"/>
          <w:szCs w:val="36"/>
          <w:lang w:bidi="ar"/>
        </w:rPr>
        <w:t>持续风险评估报告</w:t>
      </w:r>
    </w:p>
    <w:p w14:paraId="34118C3B" w14:textId="77777777" w:rsidR="004845EB" w:rsidRDefault="00000000">
      <w:pPr>
        <w:spacing w:beforeLines="50" w:before="156" w:afterLines="50" w:after="156" w:line="360" w:lineRule="auto"/>
        <w:ind w:firstLineChars="200" w:firstLine="620"/>
        <w:outlineLvl w:val="0"/>
        <w:rPr>
          <w:rFonts w:ascii="黑体" w:eastAsia="黑体" w:hAnsi="黑体" w:cs="黑体" w:hint="eastAsia"/>
          <w:bCs/>
          <w:kern w:val="0"/>
          <w:sz w:val="28"/>
          <w:szCs w:val="28"/>
        </w:rPr>
      </w:pPr>
      <w:r>
        <w:rPr>
          <w:rFonts w:ascii="黑体" w:eastAsia="黑体" w:hAnsi="黑体" w:cs="黑体" w:hint="eastAsia"/>
          <w:bCs/>
          <w:spacing w:val="15"/>
          <w:kern w:val="0"/>
          <w:sz w:val="28"/>
          <w:szCs w:val="28"/>
        </w:rPr>
        <w:t>一、广东省广</w:t>
      </w:r>
      <w:proofErr w:type="gramStart"/>
      <w:r>
        <w:rPr>
          <w:rFonts w:ascii="黑体" w:eastAsia="黑体" w:hAnsi="黑体" w:cs="黑体" w:hint="eastAsia"/>
          <w:bCs/>
          <w:spacing w:val="15"/>
          <w:kern w:val="0"/>
          <w:sz w:val="28"/>
          <w:szCs w:val="28"/>
        </w:rPr>
        <w:t>晟</w:t>
      </w:r>
      <w:proofErr w:type="gramEnd"/>
      <w:r>
        <w:rPr>
          <w:rFonts w:ascii="黑体" w:eastAsia="黑体" w:hAnsi="黑体" w:cs="黑体" w:hint="eastAsia"/>
          <w:bCs/>
          <w:spacing w:val="15"/>
          <w:kern w:val="0"/>
          <w:sz w:val="28"/>
          <w:szCs w:val="28"/>
        </w:rPr>
        <w:t>财务有限公司基本情况</w:t>
      </w:r>
    </w:p>
    <w:p w14:paraId="203D803D"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广东省广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财务有限公司（以下简称“广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或“本公司”）是经国家金融监督管理总局广东监管局（以下简称“监管机构”）批准（金融许可证机构编码：L0216H244010001）、在广东省市场监督管理局登记注册（统一社会信用代码：91440000345448548L）的非银行金融机构，依法接受监管机构的监督管理。根据监管机构颁布的《企业集团财务公司管理办法》，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财务公司以加强企业集团资金集中管理和提高企业集团资金使用效率为目的，为企业集团成员企业提供金融服务。</w:t>
      </w:r>
    </w:p>
    <w:p w14:paraId="726D5E9A"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财务公司注册资本109,922万元人民币，广东省广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控股集团有限公司（以下简称“广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控股集团”）为控股大股东认缴出资100,000万元、实缴出资100,000万元，深圳市中金岭南有色金属股份有限公司认缴出资7,632万元、实缴出资10,000万元，佛山市国</w:t>
      </w:r>
      <w:proofErr w:type="gramStart"/>
      <w:r>
        <w:rPr>
          <w:rFonts w:ascii="仿宋_GB2312" w:eastAsia="仿宋_GB2312" w:hAnsi="仿宋_GB2312" w:cs="仿宋_GB2312" w:hint="eastAsia"/>
          <w:spacing w:val="14"/>
          <w:kern w:val="0"/>
          <w:sz w:val="28"/>
          <w:szCs w:val="28"/>
        </w:rPr>
        <w:t>星光电</w:t>
      </w:r>
      <w:proofErr w:type="gramEnd"/>
      <w:r>
        <w:rPr>
          <w:rFonts w:ascii="仿宋_GB2312" w:eastAsia="仿宋_GB2312" w:hAnsi="仿宋_GB2312" w:cs="仿宋_GB2312" w:hint="eastAsia"/>
          <w:spacing w:val="14"/>
          <w:kern w:val="0"/>
          <w:sz w:val="28"/>
          <w:szCs w:val="28"/>
        </w:rPr>
        <w:t>股份有限公司认缴出资2,290万元、实缴出资3,000万元，注册及营业地：广东省广州市天河区珠江西路17号广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国际大厦52楼，成立时间2015年6月17日。</w:t>
      </w:r>
    </w:p>
    <w:p w14:paraId="68D32DDB"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财务公司在监管机构核准的经营范围内开展业务，目</w:t>
      </w:r>
      <w:r>
        <w:rPr>
          <w:rFonts w:ascii="仿宋_GB2312" w:eastAsia="仿宋_GB2312" w:hAnsi="仿宋_GB2312" w:cs="仿宋_GB2312" w:hint="eastAsia"/>
          <w:spacing w:val="14"/>
          <w:kern w:val="0"/>
          <w:sz w:val="28"/>
          <w:szCs w:val="28"/>
        </w:rPr>
        <w:lastRenderedPageBreak/>
        <w:t>前，广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财务公司的经营范围包括：吸收成员单位存款；办理成员单位贷款；办理成员单位票据贴现；办理成员单位资金结</w:t>
      </w:r>
      <w:r w:rsidRPr="00795C99">
        <w:rPr>
          <w:rFonts w:ascii="仿宋_GB2312" w:eastAsia="仿宋_GB2312" w:hAnsi="仿宋_GB2312" w:cs="仿宋_GB2312" w:hint="eastAsia"/>
          <w:spacing w:val="14"/>
          <w:kern w:val="0"/>
          <w:sz w:val="28"/>
          <w:szCs w:val="28"/>
        </w:rPr>
        <w:t>算与收付；提供成员单位委托贷款、债券承销、非融资性保函、</w:t>
      </w:r>
      <w:r>
        <w:rPr>
          <w:rFonts w:ascii="仿宋_GB2312" w:eastAsia="仿宋_GB2312" w:hAnsi="仿宋_GB2312" w:cs="仿宋_GB2312" w:hint="eastAsia"/>
          <w:spacing w:val="14"/>
          <w:kern w:val="0"/>
          <w:sz w:val="28"/>
          <w:szCs w:val="28"/>
        </w:rPr>
        <w:t>财务顾问、信用</w:t>
      </w:r>
      <w:proofErr w:type="gramStart"/>
      <w:r>
        <w:rPr>
          <w:rFonts w:ascii="仿宋_GB2312" w:eastAsia="仿宋_GB2312" w:hAnsi="仿宋_GB2312" w:cs="仿宋_GB2312" w:hint="eastAsia"/>
          <w:spacing w:val="14"/>
          <w:kern w:val="0"/>
          <w:sz w:val="28"/>
          <w:szCs w:val="28"/>
        </w:rPr>
        <w:t>鉴证</w:t>
      </w:r>
      <w:proofErr w:type="gramEnd"/>
      <w:r>
        <w:rPr>
          <w:rFonts w:ascii="仿宋_GB2312" w:eastAsia="仿宋_GB2312" w:hAnsi="仿宋_GB2312" w:cs="仿宋_GB2312" w:hint="eastAsia"/>
          <w:spacing w:val="14"/>
          <w:kern w:val="0"/>
          <w:sz w:val="28"/>
          <w:szCs w:val="28"/>
        </w:rPr>
        <w:t>及咨询代理业务；从事同业拆借；办理成员单位票据承兑；从事固定收益类有价证券投资；监督管理机构批准的其他业务。</w:t>
      </w:r>
    </w:p>
    <w:p w14:paraId="08932AC4" w14:textId="77777777" w:rsidR="004845EB" w:rsidRDefault="00000000">
      <w:pPr>
        <w:spacing w:beforeLines="50" w:before="156" w:afterLines="50" w:after="156" w:line="360" w:lineRule="auto"/>
        <w:ind w:firstLineChars="200" w:firstLine="620"/>
        <w:outlineLvl w:val="0"/>
        <w:rPr>
          <w:rFonts w:ascii="黑体" w:eastAsia="黑体" w:hAnsi="黑体" w:cs="黑体" w:hint="eastAsia"/>
          <w:bCs/>
          <w:spacing w:val="15"/>
          <w:kern w:val="0"/>
          <w:sz w:val="28"/>
          <w:szCs w:val="28"/>
        </w:rPr>
      </w:pPr>
      <w:r>
        <w:rPr>
          <w:rFonts w:ascii="黑体" w:eastAsia="黑体" w:hAnsi="黑体" w:cs="黑体" w:hint="eastAsia"/>
          <w:bCs/>
          <w:spacing w:val="15"/>
          <w:kern w:val="0"/>
          <w:sz w:val="28"/>
          <w:szCs w:val="28"/>
        </w:rPr>
        <w:t>二、广</w:t>
      </w:r>
      <w:proofErr w:type="gramStart"/>
      <w:r>
        <w:rPr>
          <w:rFonts w:ascii="黑体" w:eastAsia="黑体" w:hAnsi="黑体" w:cs="黑体" w:hint="eastAsia"/>
          <w:bCs/>
          <w:spacing w:val="15"/>
          <w:kern w:val="0"/>
          <w:sz w:val="28"/>
          <w:szCs w:val="28"/>
        </w:rPr>
        <w:t>晟</w:t>
      </w:r>
      <w:proofErr w:type="gramEnd"/>
      <w:r>
        <w:rPr>
          <w:rFonts w:ascii="黑体" w:eastAsia="黑体" w:hAnsi="黑体" w:cs="黑体" w:hint="eastAsia"/>
          <w:bCs/>
          <w:spacing w:val="15"/>
          <w:kern w:val="0"/>
          <w:sz w:val="28"/>
          <w:szCs w:val="28"/>
        </w:rPr>
        <w:t>财务公司内部控制的基本情况</w:t>
      </w:r>
    </w:p>
    <w:p w14:paraId="10DC4C84" w14:textId="77777777" w:rsidR="004845EB" w:rsidRDefault="00000000">
      <w:pPr>
        <w:spacing w:beforeLines="50" w:before="156" w:afterLines="50" w:after="156" w:line="360" w:lineRule="auto"/>
        <w:ind w:firstLineChars="200" w:firstLine="620"/>
        <w:rPr>
          <w:rFonts w:ascii="楷体_GB2312" w:eastAsia="楷体_GB2312" w:hAnsi="楷体_GB2312" w:cs="楷体_GB2312" w:hint="eastAsia"/>
          <w:bCs/>
          <w:spacing w:val="15"/>
          <w:kern w:val="0"/>
          <w:sz w:val="28"/>
          <w:szCs w:val="28"/>
        </w:rPr>
      </w:pPr>
      <w:r>
        <w:rPr>
          <w:rFonts w:ascii="楷体_GB2312" w:eastAsia="楷体_GB2312" w:hAnsi="楷体_GB2312" w:cs="楷体_GB2312" w:hint="eastAsia"/>
          <w:bCs/>
          <w:spacing w:val="15"/>
          <w:kern w:val="0"/>
          <w:sz w:val="28"/>
          <w:szCs w:val="28"/>
        </w:rPr>
        <w:t>（一）广</w:t>
      </w:r>
      <w:proofErr w:type="gramStart"/>
      <w:r>
        <w:rPr>
          <w:rFonts w:ascii="楷体_GB2312" w:eastAsia="楷体_GB2312" w:hAnsi="楷体_GB2312" w:cs="楷体_GB2312" w:hint="eastAsia"/>
          <w:bCs/>
          <w:spacing w:val="15"/>
          <w:kern w:val="0"/>
          <w:sz w:val="28"/>
          <w:szCs w:val="28"/>
        </w:rPr>
        <w:t>晟</w:t>
      </w:r>
      <w:proofErr w:type="gramEnd"/>
      <w:r>
        <w:rPr>
          <w:rFonts w:ascii="楷体_GB2312" w:eastAsia="楷体_GB2312" w:hAnsi="楷体_GB2312" w:cs="楷体_GB2312" w:hint="eastAsia"/>
          <w:bCs/>
          <w:spacing w:val="15"/>
          <w:kern w:val="0"/>
          <w:sz w:val="28"/>
          <w:szCs w:val="28"/>
        </w:rPr>
        <w:t>财务公司治理架构</w:t>
      </w:r>
    </w:p>
    <w:p w14:paraId="6E7016FA" w14:textId="77777777" w:rsidR="004845EB" w:rsidRDefault="00000000">
      <w:pPr>
        <w:spacing w:beforeLines="50" w:before="156" w:afterLines="50" w:after="156" w:line="360" w:lineRule="auto"/>
        <w:ind w:firstLineChars="200" w:firstLine="420"/>
        <w:jc w:val="left"/>
        <w:rPr>
          <w:rFonts w:ascii="仿宋_GB2312" w:eastAsia="仿宋_GB2312" w:hAnsi="仿宋_GB2312" w:cs="仿宋_GB2312" w:hint="eastAsia"/>
          <w:spacing w:val="14"/>
          <w:kern w:val="0"/>
          <w:sz w:val="28"/>
          <w:szCs w:val="28"/>
        </w:rPr>
      </w:pPr>
      <w:r>
        <w:rPr>
          <w:noProof/>
        </w:rPr>
        <w:drawing>
          <wp:anchor distT="0" distB="0" distL="114300" distR="114300" simplePos="0" relativeHeight="251660288" behindDoc="0" locked="0" layoutInCell="1" allowOverlap="1" wp14:anchorId="7EF94BC4" wp14:editId="3CDCA5E6">
            <wp:simplePos x="0" y="0"/>
            <wp:positionH relativeFrom="column">
              <wp:posOffset>-105410</wp:posOffset>
            </wp:positionH>
            <wp:positionV relativeFrom="paragraph">
              <wp:posOffset>1927225</wp:posOffset>
            </wp:positionV>
            <wp:extent cx="5800725" cy="326263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800725" cy="3262630"/>
                    </a:xfrm>
                    <a:prstGeom prst="rect">
                      <a:avLst/>
                    </a:prstGeom>
                    <a:noFill/>
                    <a:ln>
                      <a:noFill/>
                    </a:ln>
                  </pic:spPr>
                </pic:pic>
              </a:graphicData>
            </a:graphic>
          </wp:anchor>
        </w:drawing>
      </w:r>
      <w:r>
        <w:rPr>
          <w:rFonts w:ascii="仿宋_GB2312" w:eastAsia="仿宋_GB2312" w:hAnsi="仿宋_GB2312" w:cs="仿宋_GB2312" w:hint="eastAsia"/>
          <w:spacing w:val="14"/>
          <w:kern w:val="0"/>
          <w:sz w:val="28"/>
          <w:szCs w:val="28"/>
        </w:rPr>
        <w:t>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已建立以股东会、董事会和高级管理层为主体的公司治理组织架构，股东会是公司的最高权力机构，董事会是公司的决策机构，董事会下设审计委员会行使《中华人民共和国公司法》规定的监事会职权，是公司的监督机构，高级管理层是公司的执行机构。</w:t>
      </w:r>
    </w:p>
    <w:p w14:paraId="5D2E6968" w14:textId="77777777" w:rsidR="004845EB" w:rsidRDefault="004845EB">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p>
    <w:p w14:paraId="588EACE5" w14:textId="77777777" w:rsidR="004845EB" w:rsidRDefault="004845EB">
      <w:pPr>
        <w:spacing w:beforeLines="50" w:before="156" w:afterLines="50" w:after="156" w:line="360" w:lineRule="auto"/>
        <w:rPr>
          <w:rFonts w:ascii="仿宋_GB2312" w:hAnsi="宋体" w:cs="宋体" w:hint="eastAsia"/>
          <w:kern w:val="0"/>
          <w:sz w:val="32"/>
          <w:szCs w:val="32"/>
        </w:rPr>
      </w:pPr>
    </w:p>
    <w:p w14:paraId="748BBF87" w14:textId="77777777" w:rsidR="004845EB" w:rsidRDefault="004845EB">
      <w:pPr>
        <w:spacing w:beforeLines="50" w:before="156" w:afterLines="50" w:after="156" w:line="360" w:lineRule="auto"/>
        <w:rPr>
          <w:rFonts w:ascii="仿宋_GB2312" w:hAnsi="宋体" w:cs="宋体" w:hint="eastAsia"/>
          <w:kern w:val="0"/>
          <w:sz w:val="32"/>
          <w:szCs w:val="32"/>
        </w:rPr>
      </w:pPr>
    </w:p>
    <w:p w14:paraId="303FA54A" w14:textId="77777777" w:rsidR="004845EB" w:rsidRDefault="004845EB">
      <w:pPr>
        <w:spacing w:beforeLines="50" w:before="156" w:afterLines="50" w:after="156" w:line="360" w:lineRule="auto"/>
        <w:rPr>
          <w:rFonts w:ascii="仿宋_GB2312" w:hAnsi="宋体" w:cs="宋体" w:hint="eastAsia"/>
          <w:kern w:val="0"/>
          <w:sz w:val="32"/>
          <w:szCs w:val="32"/>
        </w:rPr>
      </w:pPr>
    </w:p>
    <w:p w14:paraId="14B4DC7B" w14:textId="77777777" w:rsidR="004845EB" w:rsidRDefault="004845EB">
      <w:pPr>
        <w:spacing w:beforeLines="50" w:before="156" w:afterLines="50" w:after="156" w:line="360" w:lineRule="auto"/>
        <w:rPr>
          <w:rFonts w:ascii="仿宋_GB2312" w:hAnsi="宋体" w:cs="宋体" w:hint="eastAsia"/>
          <w:kern w:val="0"/>
          <w:sz w:val="32"/>
          <w:szCs w:val="32"/>
        </w:rPr>
      </w:pPr>
    </w:p>
    <w:p w14:paraId="797B10EE" w14:textId="77777777" w:rsidR="004845EB" w:rsidRDefault="004845EB">
      <w:pPr>
        <w:spacing w:beforeLines="50" w:before="156" w:afterLines="50" w:after="156" w:line="360" w:lineRule="auto"/>
        <w:rPr>
          <w:rFonts w:ascii="仿宋_GB2312" w:eastAsia="仿宋_GB2312" w:hAnsi="仿宋_GB2312" w:cs="仿宋_GB2312" w:hint="eastAsia"/>
          <w:spacing w:val="14"/>
          <w:kern w:val="0"/>
          <w:sz w:val="28"/>
          <w:szCs w:val="28"/>
        </w:rPr>
      </w:pPr>
    </w:p>
    <w:p w14:paraId="014567C9"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财务公司实行董事会领导下的总经理负责制，目前设</w:t>
      </w:r>
      <w:r>
        <w:rPr>
          <w:rFonts w:ascii="仿宋_GB2312" w:eastAsia="仿宋_GB2312" w:hAnsi="仿宋_GB2312" w:cs="仿宋_GB2312" w:hint="eastAsia"/>
          <w:spacing w:val="14"/>
          <w:kern w:val="0"/>
          <w:sz w:val="28"/>
          <w:szCs w:val="28"/>
        </w:rPr>
        <w:lastRenderedPageBreak/>
        <w:t>置10个职能部门负责广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财务公司的日常经营和管理。前台部门为结算业务部和资金信贷部（同业与投资中心），中台部门为融资管控部、法律</w:t>
      </w:r>
      <w:proofErr w:type="gramStart"/>
      <w:r>
        <w:rPr>
          <w:rFonts w:ascii="仿宋_GB2312" w:eastAsia="仿宋_GB2312" w:hAnsi="仿宋_GB2312" w:cs="仿宋_GB2312" w:hint="eastAsia"/>
          <w:spacing w:val="14"/>
          <w:kern w:val="0"/>
          <w:sz w:val="28"/>
          <w:szCs w:val="28"/>
        </w:rPr>
        <w:t>与风控事务</w:t>
      </w:r>
      <w:proofErr w:type="gramEnd"/>
      <w:r>
        <w:rPr>
          <w:rFonts w:ascii="仿宋_GB2312" w:eastAsia="仿宋_GB2312" w:hAnsi="仿宋_GB2312" w:cs="仿宋_GB2312" w:hint="eastAsia"/>
          <w:spacing w:val="14"/>
          <w:kern w:val="0"/>
          <w:sz w:val="28"/>
          <w:szCs w:val="28"/>
        </w:rPr>
        <w:t>部和财务部，后台部门为党群人事部、纪律检查室、审计工作部、办公室和信息科技部。各部门有明确的部门职责和岗位职责说明书，实现了前、中、后台部门、岗位、人员的有效分离。</w:t>
      </w:r>
    </w:p>
    <w:p w14:paraId="5EAB3E18"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1、股东会：最高权力机构。</w:t>
      </w:r>
    </w:p>
    <w:p w14:paraId="6A7A01C6"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股东会行使下列职权：对公司上市</w:t>
      </w:r>
      <w:proofErr w:type="gramStart"/>
      <w:r>
        <w:rPr>
          <w:rFonts w:ascii="仿宋_GB2312" w:eastAsia="仿宋_GB2312" w:hAnsi="仿宋_GB2312" w:cs="仿宋_GB2312" w:hint="eastAsia"/>
          <w:spacing w:val="14"/>
          <w:kern w:val="0"/>
          <w:sz w:val="28"/>
          <w:szCs w:val="28"/>
        </w:rPr>
        <w:t>作出</w:t>
      </w:r>
      <w:proofErr w:type="gramEnd"/>
      <w:r>
        <w:rPr>
          <w:rFonts w:ascii="仿宋_GB2312" w:eastAsia="仿宋_GB2312" w:hAnsi="仿宋_GB2312" w:cs="仿宋_GB2312" w:hint="eastAsia"/>
          <w:spacing w:val="14"/>
          <w:kern w:val="0"/>
          <w:sz w:val="28"/>
          <w:szCs w:val="28"/>
        </w:rPr>
        <w:t>决议；审议批准股东会、董事会议事规则；依照法律规定对转让公司股权</w:t>
      </w:r>
      <w:proofErr w:type="gramStart"/>
      <w:r>
        <w:rPr>
          <w:rFonts w:ascii="仿宋_GB2312" w:eastAsia="仿宋_GB2312" w:hAnsi="仿宋_GB2312" w:cs="仿宋_GB2312" w:hint="eastAsia"/>
          <w:spacing w:val="14"/>
          <w:kern w:val="0"/>
          <w:sz w:val="28"/>
          <w:szCs w:val="28"/>
        </w:rPr>
        <w:t>作出</w:t>
      </w:r>
      <w:proofErr w:type="gramEnd"/>
      <w:r>
        <w:rPr>
          <w:rFonts w:ascii="仿宋_GB2312" w:eastAsia="仿宋_GB2312" w:hAnsi="仿宋_GB2312" w:cs="仿宋_GB2312" w:hint="eastAsia"/>
          <w:spacing w:val="14"/>
          <w:kern w:val="0"/>
          <w:sz w:val="28"/>
          <w:szCs w:val="28"/>
        </w:rPr>
        <w:t>决议；对聘用或解聘为公司财务报告进行定期法定审计的会计师事务所</w:t>
      </w:r>
      <w:proofErr w:type="gramStart"/>
      <w:r>
        <w:rPr>
          <w:rFonts w:ascii="仿宋_GB2312" w:eastAsia="仿宋_GB2312" w:hAnsi="仿宋_GB2312" w:cs="仿宋_GB2312" w:hint="eastAsia"/>
          <w:spacing w:val="14"/>
          <w:kern w:val="0"/>
          <w:sz w:val="28"/>
          <w:szCs w:val="28"/>
        </w:rPr>
        <w:t>作出</w:t>
      </w:r>
      <w:proofErr w:type="gramEnd"/>
      <w:r>
        <w:rPr>
          <w:rFonts w:ascii="仿宋_GB2312" w:eastAsia="仿宋_GB2312" w:hAnsi="仿宋_GB2312" w:cs="仿宋_GB2312" w:hint="eastAsia"/>
          <w:spacing w:val="14"/>
          <w:kern w:val="0"/>
          <w:sz w:val="28"/>
          <w:szCs w:val="28"/>
        </w:rPr>
        <w:t>决议；决定公司的经营方针和投资计划，审核公司战略和发展规划；审议批准公司的年度财务预算方案和决算方案；审议批准公司的利润分配方案和弥补亏损方案；对公司增加或者减少注册资本</w:t>
      </w:r>
      <w:proofErr w:type="gramStart"/>
      <w:r>
        <w:rPr>
          <w:rFonts w:ascii="仿宋_GB2312" w:eastAsia="仿宋_GB2312" w:hAnsi="仿宋_GB2312" w:cs="仿宋_GB2312" w:hint="eastAsia"/>
          <w:spacing w:val="14"/>
          <w:kern w:val="0"/>
          <w:sz w:val="28"/>
          <w:szCs w:val="28"/>
        </w:rPr>
        <w:t>作出</w:t>
      </w:r>
      <w:proofErr w:type="gramEnd"/>
      <w:r>
        <w:rPr>
          <w:rFonts w:ascii="仿宋_GB2312" w:eastAsia="仿宋_GB2312" w:hAnsi="仿宋_GB2312" w:cs="仿宋_GB2312" w:hint="eastAsia"/>
          <w:spacing w:val="14"/>
          <w:kern w:val="0"/>
          <w:sz w:val="28"/>
          <w:szCs w:val="28"/>
        </w:rPr>
        <w:t>决议；公司合并、分立、解散、清算、变更公司形式</w:t>
      </w:r>
      <w:proofErr w:type="gramStart"/>
      <w:r>
        <w:rPr>
          <w:rFonts w:ascii="仿宋_GB2312" w:eastAsia="仿宋_GB2312" w:hAnsi="仿宋_GB2312" w:cs="仿宋_GB2312" w:hint="eastAsia"/>
          <w:spacing w:val="14"/>
          <w:kern w:val="0"/>
          <w:sz w:val="28"/>
          <w:szCs w:val="28"/>
        </w:rPr>
        <w:t>作出</w:t>
      </w:r>
      <w:proofErr w:type="gramEnd"/>
      <w:r>
        <w:rPr>
          <w:rFonts w:ascii="仿宋_GB2312" w:eastAsia="仿宋_GB2312" w:hAnsi="仿宋_GB2312" w:cs="仿宋_GB2312" w:hint="eastAsia"/>
          <w:spacing w:val="14"/>
          <w:kern w:val="0"/>
          <w:sz w:val="28"/>
          <w:szCs w:val="28"/>
        </w:rPr>
        <w:t>决议；对公司所投资的股权处置</w:t>
      </w:r>
      <w:proofErr w:type="gramStart"/>
      <w:r>
        <w:rPr>
          <w:rFonts w:ascii="仿宋_GB2312" w:eastAsia="仿宋_GB2312" w:hAnsi="仿宋_GB2312" w:cs="仿宋_GB2312" w:hint="eastAsia"/>
          <w:spacing w:val="14"/>
          <w:kern w:val="0"/>
          <w:sz w:val="28"/>
          <w:szCs w:val="28"/>
        </w:rPr>
        <w:t>作出</w:t>
      </w:r>
      <w:proofErr w:type="gramEnd"/>
      <w:r>
        <w:rPr>
          <w:rFonts w:ascii="仿宋_GB2312" w:eastAsia="仿宋_GB2312" w:hAnsi="仿宋_GB2312" w:cs="仿宋_GB2312" w:hint="eastAsia"/>
          <w:spacing w:val="14"/>
          <w:kern w:val="0"/>
          <w:sz w:val="28"/>
          <w:szCs w:val="28"/>
        </w:rPr>
        <w:t>决议；对公司新增业务范围</w:t>
      </w:r>
      <w:proofErr w:type="gramStart"/>
      <w:r>
        <w:rPr>
          <w:rFonts w:ascii="仿宋_GB2312" w:eastAsia="仿宋_GB2312" w:hAnsi="仿宋_GB2312" w:cs="仿宋_GB2312" w:hint="eastAsia"/>
          <w:spacing w:val="14"/>
          <w:kern w:val="0"/>
          <w:sz w:val="28"/>
          <w:szCs w:val="28"/>
        </w:rPr>
        <w:t>作出</w:t>
      </w:r>
      <w:proofErr w:type="gramEnd"/>
      <w:r>
        <w:rPr>
          <w:rFonts w:ascii="仿宋_GB2312" w:eastAsia="仿宋_GB2312" w:hAnsi="仿宋_GB2312" w:cs="仿宋_GB2312" w:hint="eastAsia"/>
          <w:spacing w:val="14"/>
          <w:kern w:val="0"/>
          <w:sz w:val="28"/>
          <w:szCs w:val="28"/>
        </w:rPr>
        <w:t>决议；修改公司章程；选举和更换非由职工代表担任的董事，决定有关董事的报酬事项；审议批准董事会的报告；审议批准法律法规、监管规定或者公司章程规定的应当由股东会决定的其他事项。</w:t>
      </w:r>
    </w:p>
    <w:p w14:paraId="65A2F32D"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2、党支部委员会：领导核心和政治核心。</w:t>
      </w:r>
    </w:p>
    <w:p w14:paraId="3757F4EB"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财务公司党支部委员会按管理权限由上级党组织批</w:t>
      </w:r>
      <w:r>
        <w:rPr>
          <w:rFonts w:ascii="仿宋_GB2312" w:eastAsia="仿宋_GB2312" w:hAnsi="仿宋_GB2312" w:cs="仿宋_GB2312" w:hint="eastAsia"/>
          <w:spacing w:val="14"/>
          <w:kern w:val="0"/>
          <w:sz w:val="28"/>
          <w:szCs w:val="28"/>
        </w:rPr>
        <w:lastRenderedPageBreak/>
        <w:t>准设立。党支部委员会在财务公司发挥领导核心和政治核心作用，承担从</w:t>
      </w:r>
      <w:proofErr w:type="gramStart"/>
      <w:r>
        <w:rPr>
          <w:rFonts w:ascii="仿宋_GB2312" w:eastAsia="仿宋_GB2312" w:hAnsi="仿宋_GB2312" w:cs="仿宋_GB2312" w:hint="eastAsia"/>
          <w:spacing w:val="14"/>
          <w:kern w:val="0"/>
          <w:sz w:val="28"/>
          <w:szCs w:val="28"/>
        </w:rPr>
        <w:t>严管党</w:t>
      </w:r>
      <w:proofErr w:type="gramEnd"/>
      <w:r>
        <w:rPr>
          <w:rFonts w:ascii="仿宋_GB2312" w:eastAsia="仿宋_GB2312" w:hAnsi="仿宋_GB2312" w:cs="仿宋_GB2312" w:hint="eastAsia"/>
          <w:spacing w:val="14"/>
          <w:kern w:val="0"/>
          <w:sz w:val="28"/>
          <w:szCs w:val="28"/>
        </w:rPr>
        <w:t>治党责任，落实党风廉政建设主体责任，负责保证监督党和国家的方针政策在财务公司的贯彻执行，前置研究讨论企业重大问题，落实党管干部和党</w:t>
      </w:r>
      <w:proofErr w:type="gramStart"/>
      <w:r>
        <w:rPr>
          <w:rFonts w:ascii="仿宋_GB2312" w:eastAsia="仿宋_GB2312" w:hAnsi="仿宋_GB2312" w:cs="仿宋_GB2312" w:hint="eastAsia"/>
          <w:spacing w:val="14"/>
          <w:kern w:val="0"/>
          <w:sz w:val="28"/>
          <w:szCs w:val="28"/>
        </w:rPr>
        <w:t>管人才</w:t>
      </w:r>
      <w:proofErr w:type="gramEnd"/>
      <w:r>
        <w:rPr>
          <w:rFonts w:ascii="仿宋_GB2312" w:eastAsia="仿宋_GB2312" w:hAnsi="仿宋_GB2312" w:cs="仿宋_GB2312" w:hint="eastAsia"/>
          <w:spacing w:val="14"/>
          <w:kern w:val="0"/>
          <w:sz w:val="28"/>
          <w:szCs w:val="28"/>
        </w:rPr>
        <w:t>原则，坚持和完善双向进入、交叉任职的领导体制，加强对企业领导人员的监督，领导企业思想政治工作、精神文明建设和工会、共青团等群众组织，落实党风廉政建设监督责任，履行党的纪律审查和纪律监督职责。</w:t>
      </w:r>
    </w:p>
    <w:p w14:paraId="445BA09B"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3、董事会：决策机构。</w:t>
      </w:r>
    </w:p>
    <w:p w14:paraId="0A2D2DDB"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董事会对股东会负责，依照《公司法》行使下列职权：负责召集和主持股东会；执行股东会决议，并向股东会报告工作；决定公司的经营计划；制订公司的年度财务预算方案和决算方案；制订公司的利润分配方案和弥补亏损方案；制订公司增加或者减少注册资本及上市的方案；制订公司转让本公司股份或者合并、分立、解散、清算、重组、破产、变更公司形式的方案；决定公司内部管理机构的设置；按照监管及集团规定，聘任或解聘公司高级管理人员，并决定其薪酬、奖惩、考核等事项，监督高级管理</w:t>
      </w:r>
      <w:proofErr w:type="gramStart"/>
      <w:r>
        <w:rPr>
          <w:rFonts w:ascii="仿宋_GB2312" w:eastAsia="仿宋_GB2312" w:hAnsi="仿宋_GB2312" w:cs="仿宋_GB2312" w:hint="eastAsia"/>
          <w:spacing w:val="14"/>
          <w:kern w:val="0"/>
          <w:sz w:val="28"/>
          <w:szCs w:val="28"/>
        </w:rPr>
        <w:t>层履行</w:t>
      </w:r>
      <w:proofErr w:type="gramEnd"/>
      <w:r>
        <w:rPr>
          <w:rFonts w:ascii="仿宋_GB2312" w:eastAsia="仿宋_GB2312" w:hAnsi="仿宋_GB2312" w:cs="仿宋_GB2312" w:hint="eastAsia"/>
          <w:spacing w:val="14"/>
          <w:kern w:val="0"/>
          <w:sz w:val="28"/>
          <w:szCs w:val="28"/>
        </w:rPr>
        <w:t>职责；制定公司的基本管理制度；依照法律法规、监管规定及公司章程，审议批准公司的资产购置与核销、关联交易、数据治理等事项；制订公司战略和发展规划，监督战略实施；制定公司资本规划，承担资本或偿付能力管理最终责任；制定公司风险容忍度、风险管理和内部控制政</w:t>
      </w:r>
      <w:r>
        <w:rPr>
          <w:rFonts w:ascii="仿宋_GB2312" w:eastAsia="仿宋_GB2312" w:hAnsi="仿宋_GB2312" w:cs="仿宋_GB2312" w:hint="eastAsia"/>
          <w:spacing w:val="14"/>
          <w:kern w:val="0"/>
          <w:sz w:val="28"/>
          <w:szCs w:val="28"/>
        </w:rPr>
        <w:lastRenderedPageBreak/>
        <w:t>策，承担全面风险管理的最终责任，决定公司的风险管理体系、内部控制体系、法律合</w:t>
      </w:r>
      <w:proofErr w:type="gramStart"/>
      <w:r>
        <w:rPr>
          <w:rFonts w:ascii="仿宋_GB2312" w:eastAsia="仿宋_GB2312" w:hAnsi="仿宋_GB2312" w:cs="仿宋_GB2312" w:hint="eastAsia"/>
          <w:spacing w:val="14"/>
          <w:kern w:val="0"/>
          <w:sz w:val="28"/>
          <w:szCs w:val="28"/>
        </w:rPr>
        <w:t>规</w:t>
      </w:r>
      <w:proofErr w:type="gramEnd"/>
      <w:r>
        <w:rPr>
          <w:rFonts w:ascii="仿宋_GB2312" w:eastAsia="仿宋_GB2312" w:hAnsi="仿宋_GB2312" w:cs="仿宋_GB2312" w:hint="eastAsia"/>
          <w:spacing w:val="14"/>
          <w:kern w:val="0"/>
          <w:sz w:val="28"/>
          <w:szCs w:val="28"/>
        </w:rPr>
        <w:t>管理体系、违规经营投资责任追究工作体系，按照授权审议批准风险管理重大事项，对公司风险管理、内部控制和合</w:t>
      </w:r>
      <w:proofErr w:type="gramStart"/>
      <w:r>
        <w:rPr>
          <w:rFonts w:ascii="仿宋_GB2312" w:eastAsia="仿宋_GB2312" w:hAnsi="仿宋_GB2312" w:cs="仿宋_GB2312" w:hint="eastAsia"/>
          <w:spacing w:val="14"/>
          <w:kern w:val="0"/>
          <w:sz w:val="28"/>
          <w:szCs w:val="28"/>
        </w:rPr>
        <w:t>规</w:t>
      </w:r>
      <w:proofErr w:type="gramEnd"/>
      <w:r>
        <w:rPr>
          <w:rFonts w:ascii="仿宋_GB2312" w:eastAsia="仿宋_GB2312" w:hAnsi="仿宋_GB2312" w:cs="仿宋_GB2312" w:hint="eastAsia"/>
          <w:spacing w:val="14"/>
          <w:kern w:val="0"/>
          <w:sz w:val="28"/>
          <w:szCs w:val="28"/>
        </w:rPr>
        <w:t>管理制度及其有效实施进行总体监控和评价；负责公司信息披露，并对会计和财务报告的真实性、准确性、完整性和及时性承担最终责任；定期评估并完善公司治理；制订公司章程的修改方案，制订股东会议事规则、董事会议事规则，审议批准董事会专门委员会工作规则；提请股东会聘用或者解聘为公司财务报告进行定期法定审计的会计师事务所；维护金融消费者和其他利益相关者合法权益；建立公司与股东特别是主要股东之间利益冲突的识别、审查和管理机制；承担股东事务的管理责任；按照授权决定公司的投资方案、融资、担保、资产处置等事项；制定公司的重大收入分配方案，包括公司工资总额预算与清算方案等，根据授权批准公司职工收入分配方案、公司年金方案；按照授权决定公司重大会计政策和会计估计变更方案；按照授权批准重大对外捐赠事项；指导、检查和评估公司内部审计工作，决定公司内部审计机构的负责人，建立审计部门向董事会负责的机制；听取总经理工作报告，检查高级管理人员对董事会决议的执行情况，建立健全对高级管理人员的问责制；法律、行政法规、公司章程规定和股东会授权行使的其他职权。</w:t>
      </w:r>
    </w:p>
    <w:p w14:paraId="0244F258"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4、全面预算管理委员会：董事会下设的议事执行机构。</w:t>
      </w:r>
    </w:p>
    <w:p w14:paraId="2A11CDE5"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lastRenderedPageBreak/>
        <w:t>依照财务公司章程及全面预算管理委员会议事规则，在董事会授权范围内行使下列职权：审核公司全面预算管理制度，包括预算编制方法和程序等；根据公司战略规划和年度经营目标，确定公司整体预算目标及预算分解方案；综合平衡公司预算草案；下达经董事会批准的正式年度预算；协调解决预算编制和执行中的重大问题；审议预算调整方案，依照授权进行审批；审议预算考核和奖惩方案；董事会授权的其他预算管理事项。</w:t>
      </w:r>
    </w:p>
    <w:p w14:paraId="08149F51"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5、风险管理委员会：董事会下设的议事执行机构。</w:t>
      </w:r>
    </w:p>
    <w:p w14:paraId="1A3097BB"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依照财务公司章程及风险管理委员会议事规则，在董事会授权范围内行使下列职权：审议批准公司风险管理战略和风险管理政策；审议公司年度风险管理报告，掌握关于风险水平和管理状况，并报董事会批准；审议公司重要业务的风险管理方案和重大风险管理应对策略，并报董事会批准；审议公司风险管理和内部控制基本制度，并报董事会批准；审定公司风险管理组织机构设置方案；审定公司对各项风险的识别、计量、监测和控制的工作方案；董事会授权的其他风险管理事宜。</w:t>
      </w:r>
    </w:p>
    <w:p w14:paraId="5539A857"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6、审计委员会：董事会下设的议事执行机构。</w:t>
      </w:r>
    </w:p>
    <w:p w14:paraId="1FFBEF6B"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依照财务公司章程及审计委员会议事规则，在董事会授权范围内行使下列职权：提议聘请或更换外部审计机构；制定公司内部审计制度及中长期审计规划，并监督实施；协调内部审</w:t>
      </w:r>
      <w:r>
        <w:rPr>
          <w:rFonts w:ascii="仿宋_GB2312" w:eastAsia="仿宋_GB2312" w:hAnsi="仿宋_GB2312" w:cs="仿宋_GB2312" w:hint="eastAsia"/>
          <w:spacing w:val="14"/>
          <w:kern w:val="0"/>
          <w:sz w:val="28"/>
          <w:szCs w:val="28"/>
        </w:rPr>
        <w:lastRenderedPageBreak/>
        <w:t>计和外部审计之间的沟通；组织对公司重大关联交易的审计；审定公司年度审计工作计划，并报董事会；审定公司内外部审计报告；监督审计整改；行使《中华人民共和国公司法》规定的监事会职权公司董事会授权的其他事项。</w:t>
      </w:r>
    </w:p>
    <w:p w14:paraId="1F1C9F3C"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7、高级管理层：设总经理一名、副总经理若干名。</w:t>
      </w:r>
    </w:p>
    <w:p w14:paraId="28157F97"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高级管理层对董事会负责。总经理、副总经理由董事会聘任或解聘，经监管机构核准任职资格后方可履职。总经理负责财务公司日常经营管理活动，依照财务公司章程及董事会授权行使职权，副总经理负责在分管工作范围或授权范围内，协助总经理开展工作。</w:t>
      </w:r>
    </w:p>
    <w:p w14:paraId="5BCC7F92"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8、信贷审查委员会：是高级管理层下设机构，负责财务公司各</w:t>
      </w:r>
      <w:proofErr w:type="gramStart"/>
      <w:r>
        <w:rPr>
          <w:rFonts w:ascii="仿宋_GB2312" w:eastAsia="仿宋_GB2312" w:hAnsi="仿宋_GB2312" w:cs="仿宋_GB2312" w:hint="eastAsia"/>
          <w:spacing w:val="14"/>
          <w:kern w:val="0"/>
          <w:sz w:val="28"/>
          <w:szCs w:val="28"/>
        </w:rPr>
        <w:t>类授信政策</w:t>
      </w:r>
      <w:proofErr w:type="gramEnd"/>
      <w:r>
        <w:rPr>
          <w:rFonts w:ascii="仿宋_GB2312" w:eastAsia="仿宋_GB2312" w:hAnsi="仿宋_GB2312" w:cs="仿宋_GB2312" w:hint="eastAsia"/>
          <w:spacing w:val="14"/>
          <w:kern w:val="0"/>
          <w:sz w:val="28"/>
          <w:szCs w:val="28"/>
        </w:rPr>
        <w:t>和计划的制定、授信项目审批等工作。</w:t>
      </w:r>
    </w:p>
    <w:p w14:paraId="4F46FB53"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信贷审查委员会主要职责如下：审批授权范围内的公司所有授信业务；审议公司的年度信贷政策和信贷计划，并报总经理办公会议批准；审议公司优化信贷资产质量和结构的工作方案，并报总经理办公会议批准；审定公司涉及信贷业务的各项具体管理办法和操作规程；组织研究和分析公司信贷资产状况，对公司信贷业务营运提出工作要求和指导；总经理授权行使的其他职责。</w:t>
      </w:r>
    </w:p>
    <w:p w14:paraId="71247F95"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9、投资决策委员会：是高级管理层下设机构，负责财务公司对外投资业务审查和审批等工作。</w:t>
      </w:r>
    </w:p>
    <w:p w14:paraId="203F6E91"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lastRenderedPageBreak/>
        <w:t>投资决策委员会主要职责如下：审议公司年度投资策略和投资计划，并报总经理办公会议批准；组织研究和分析公司投资资产状况，对公司投资业务营运提出工作要求和指导；审议公司优化投资资产质量和结构的工作方案，并报总经理办公会议批准；审议公司重大投融资方案，并报董事会审批；审批授权范围内的投资业务；审定公司涉及投资业务的各项具体管理办法和操作规程；总经理授权行使的其他职责。</w:t>
      </w:r>
    </w:p>
    <w:p w14:paraId="3C8178D5"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10、信息科技管理委员会：是高级管理层下设机构，负责分析信息科技业务发展和风险管理状况，制定信息科技发展政策、管理制度和相关技术性要求，审议信息科技业务和预算情况等工作。</w:t>
      </w:r>
    </w:p>
    <w:p w14:paraId="4E055A25"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 xml:space="preserve">信息科技管理委员会主要职责如下：审议一定时期公司信息科技管理架构方案及调整方案；审议批准信息科技战略；审议信息科技管理业务发展和风险管理状况报告；评估信息科技及其风险管理工作的总体效果和效率；掌握主要的信息科技风险，确定可接受的风险级别，确保相关风险能够被识别、计量、监测和控制。审议信息科技风险等级、应急处置预案等；审议年度信息科技管理风险报告；审议信息科技年度预算及实际支出情况报告等。 </w:t>
      </w:r>
    </w:p>
    <w:p w14:paraId="3E602452" w14:textId="77777777" w:rsidR="004845EB" w:rsidRDefault="00000000">
      <w:pPr>
        <w:numPr>
          <w:ilvl w:val="255"/>
          <w:numId w:val="0"/>
        </w:num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11、职能部门：设办公室、结算业务部、资金信贷部（同业与投资中心）、融资管控部、财务部、法律</w:t>
      </w:r>
      <w:proofErr w:type="gramStart"/>
      <w:r>
        <w:rPr>
          <w:rFonts w:ascii="仿宋_GB2312" w:eastAsia="仿宋_GB2312" w:hAnsi="仿宋_GB2312" w:cs="仿宋_GB2312" w:hint="eastAsia"/>
          <w:spacing w:val="14"/>
          <w:kern w:val="0"/>
          <w:sz w:val="28"/>
          <w:szCs w:val="28"/>
        </w:rPr>
        <w:t>与风控事务</w:t>
      </w:r>
      <w:proofErr w:type="gramEnd"/>
      <w:r>
        <w:rPr>
          <w:rFonts w:ascii="仿宋_GB2312" w:eastAsia="仿宋_GB2312" w:hAnsi="仿宋_GB2312" w:cs="仿宋_GB2312" w:hint="eastAsia"/>
          <w:spacing w:val="14"/>
          <w:kern w:val="0"/>
          <w:sz w:val="28"/>
          <w:szCs w:val="28"/>
        </w:rPr>
        <w:t>部、</w:t>
      </w:r>
      <w:r>
        <w:rPr>
          <w:rFonts w:ascii="仿宋_GB2312" w:eastAsia="仿宋_GB2312" w:hAnsi="仿宋_GB2312" w:cs="仿宋_GB2312" w:hint="eastAsia"/>
          <w:spacing w:val="14"/>
          <w:kern w:val="0"/>
          <w:sz w:val="28"/>
          <w:szCs w:val="28"/>
        </w:rPr>
        <w:lastRenderedPageBreak/>
        <w:t>信息科技部、党群人事部、纪律检查室、审计工作部十个职能部门和一个二级部门。</w:t>
      </w:r>
    </w:p>
    <w:p w14:paraId="095E2054"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（1）办公室是公司负责对口行政管理、综合协调、办公督办、服务保障、生产安全、</w:t>
      </w:r>
      <w:proofErr w:type="gramStart"/>
      <w:r>
        <w:rPr>
          <w:rFonts w:ascii="仿宋_GB2312" w:eastAsia="仿宋_GB2312" w:hAnsi="仿宋_GB2312" w:cs="仿宋_GB2312" w:hint="eastAsia"/>
          <w:spacing w:val="14"/>
          <w:kern w:val="0"/>
          <w:sz w:val="28"/>
          <w:szCs w:val="28"/>
        </w:rPr>
        <w:t>信访维稳等</w:t>
      </w:r>
      <w:proofErr w:type="gramEnd"/>
      <w:r>
        <w:rPr>
          <w:rFonts w:ascii="仿宋_GB2312" w:eastAsia="仿宋_GB2312" w:hAnsi="仿宋_GB2312" w:cs="仿宋_GB2312" w:hint="eastAsia"/>
          <w:spacing w:val="14"/>
          <w:kern w:val="0"/>
          <w:sz w:val="28"/>
          <w:szCs w:val="28"/>
        </w:rPr>
        <w:t>工作的部门。（2）结算业务部是公司负责开展结算相关业务的部门，具体职责包括：负责开展集团公司资金归集和成员企业资金监管；管理公司及成员企业内外部账户；负责公司资金类业务的支付结算及核算（结字类凭证）；管理公司支票、重要空白凭证、财务印鉴及金库；负责与银行、成员企业的资金对账；负责存款准备金的缴存及对账；负责与成员企业、银行的结算业务沟通协调；制订结算业务相关的规章制度及流程。（3）资金信贷部（同业与投资中心）是公司负责对口、管理成员单位（客户），受理并办理信贷业务、资金管理及运作、同业业务、投资业务的部门。负责组织实施授信业务；实施公司金融资源集中管理，利用金融工具及专业技能为成员单位提供优质金融服务；负责实施资产负债管理，组织实施资金预算及头寸管理，提高资金效益；负责本部门职责范围内的内控制度建设；负责完成公司及领导交办的其他工作。（4）融资</w:t>
      </w:r>
      <w:proofErr w:type="gramStart"/>
      <w:r>
        <w:rPr>
          <w:rFonts w:ascii="仿宋_GB2312" w:eastAsia="仿宋_GB2312" w:hAnsi="仿宋_GB2312" w:cs="仿宋_GB2312" w:hint="eastAsia"/>
          <w:spacing w:val="14"/>
          <w:kern w:val="0"/>
          <w:sz w:val="28"/>
          <w:szCs w:val="28"/>
        </w:rPr>
        <w:t>管控部是</w:t>
      </w:r>
      <w:proofErr w:type="gramEnd"/>
      <w:r>
        <w:rPr>
          <w:rFonts w:ascii="仿宋_GB2312" w:eastAsia="仿宋_GB2312" w:hAnsi="仿宋_GB2312" w:cs="仿宋_GB2312" w:hint="eastAsia"/>
          <w:spacing w:val="14"/>
          <w:kern w:val="0"/>
          <w:sz w:val="28"/>
          <w:szCs w:val="28"/>
        </w:rPr>
        <w:t>承担广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控股集团融资、内部信贷、担保等业务职能的部门。负责制定集团总部的资金计划、资金存放安排，合理控制资金头寸；落实各银行集团授信，确保集团授信及时续接；办理集团总部的融资、内部信贷、担保等业务；执行集团带息负债、内部信贷、担保的全面预算</w:t>
      </w:r>
      <w:r>
        <w:rPr>
          <w:rFonts w:ascii="仿宋_GB2312" w:eastAsia="仿宋_GB2312" w:hAnsi="仿宋_GB2312" w:cs="仿宋_GB2312" w:hint="eastAsia"/>
          <w:spacing w:val="14"/>
          <w:kern w:val="0"/>
          <w:sz w:val="28"/>
          <w:szCs w:val="28"/>
        </w:rPr>
        <w:lastRenderedPageBreak/>
        <w:t>管理，确保集团资金链稳定，防范债务风险；负责本部门职责范围内的内控制度建设；负责完成公司及领导交办的其他工作。（5）财务部是负责公司的全面预算、会计核算和决算、财务报告以及统筹公司数据治理工作的部门。负责内部费用报销事项审核工作；负责公司财务、经营分析和各类财务报表报送工作；负责金融统计管理和报送工作；负责公司税务筹划和申报纳税工作；负责产权登记等国有产权基础管理工作；负责公司利润分配管理工作；负责集团对财务公司经营业务考核的申报工作；承担全面预算管理委员会办公室职能；负责本部门职责范围内的内控制度建设；负责完成公司及领导交办的其他工作。（6）法律</w:t>
      </w:r>
      <w:proofErr w:type="gramStart"/>
      <w:r>
        <w:rPr>
          <w:rFonts w:ascii="仿宋_GB2312" w:eastAsia="仿宋_GB2312" w:hAnsi="仿宋_GB2312" w:cs="仿宋_GB2312" w:hint="eastAsia"/>
          <w:spacing w:val="14"/>
          <w:kern w:val="0"/>
          <w:sz w:val="28"/>
          <w:szCs w:val="28"/>
        </w:rPr>
        <w:t>与风控事务</w:t>
      </w:r>
      <w:proofErr w:type="gramEnd"/>
      <w:r>
        <w:rPr>
          <w:rFonts w:ascii="仿宋_GB2312" w:eastAsia="仿宋_GB2312" w:hAnsi="仿宋_GB2312" w:cs="仿宋_GB2312" w:hint="eastAsia"/>
          <w:spacing w:val="14"/>
          <w:kern w:val="0"/>
          <w:sz w:val="28"/>
          <w:szCs w:val="28"/>
        </w:rPr>
        <w:t>部是负责公司法律事务管理，统筹风险管理、合</w:t>
      </w:r>
      <w:proofErr w:type="gramStart"/>
      <w:r>
        <w:rPr>
          <w:rFonts w:ascii="仿宋_GB2312" w:eastAsia="仿宋_GB2312" w:hAnsi="仿宋_GB2312" w:cs="仿宋_GB2312" w:hint="eastAsia"/>
          <w:spacing w:val="14"/>
          <w:kern w:val="0"/>
          <w:sz w:val="28"/>
          <w:szCs w:val="28"/>
        </w:rPr>
        <w:t>规</w:t>
      </w:r>
      <w:proofErr w:type="gramEnd"/>
      <w:r>
        <w:rPr>
          <w:rFonts w:ascii="仿宋_GB2312" w:eastAsia="仿宋_GB2312" w:hAnsi="仿宋_GB2312" w:cs="仿宋_GB2312" w:hint="eastAsia"/>
          <w:spacing w:val="14"/>
          <w:kern w:val="0"/>
          <w:sz w:val="28"/>
          <w:szCs w:val="28"/>
        </w:rPr>
        <w:t>管理、反洗钱管理的部门。法律管理方面，建立和完善法律风险防范机制；对公司重大决策、规章制度及合同的法律审核，提供法律支持；管理法律案件；风险管理方面，构建和实施全面风险管理体系，制定风险管理策略，监控主要风险指标；负责资产质量五级分类的复核工作；协助开展部分监管数据审核报送工作。合</w:t>
      </w:r>
      <w:proofErr w:type="gramStart"/>
      <w:r>
        <w:rPr>
          <w:rFonts w:ascii="仿宋_GB2312" w:eastAsia="仿宋_GB2312" w:hAnsi="仿宋_GB2312" w:cs="仿宋_GB2312" w:hint="eastAsia"/>
          <w:spacing w:val="14"/>
          <w:kern w:val="0"/>
          <w:sz w:val="28"/>
          <w:szCs w:val="28"/>
        </w:rPr>
        <w:t>规</w:t>
      </w:r>
      <w:proofErr w:type="gramEnd"/>
      <w:r>
        <w:rPr>
          <w:rFonts w:ascii="仿宋_GB2312" w:eastAsia="仿宋_GB2312" w:hAnsi="仿宋_GB2312" w:cs="仿宋_GB2312" w:hint="eastAsia"/>
          <w:spacing w:val="14"/>
          <w:kern w:val="0"/>
          <w:sz w:val="28"/>
          <w:szCs w:val="28"/>
        </w:rPr>
        <w:t>管理方面，负责内控制度的建设和组织；开展各类风险排查工作；负责公司合</w:t>
      </w:r>
      <w:proofErr w:type="gramStart"/>
      <w:r>
        <w:rPr>
          <w:rFonts w:ascii="仿宋_GB2312" w:eastAsia="仿宋_GB2312" w:hAnsi="仿宋_GB2312" w:cs="仿宋_GB2312" w:hint="eastAsia"/>
          <w:spacing w:val="14"/>
          <w:kern w:val="0"/>
          <w:sz w:val="28"/>
          <w:szCs w:val="28"/>
        </w:rPr>
        <w:t>规</w:t>
      </w:r>
      <w:proofErr w:type="gramEnd"/>
      <w:r>
        <w:rPr>
          <w:rFonts w:ascii="仿宋_GB2312" w:eastAsia="仿宋_GB2312" w:hAnsi="仿宋_GB2312" w:cs="仿宋_GB2312" w:hint="eastAsia"/>
          <w:spacing w:val="14"/>
          <w:kern w:val="0"/>
          <w:sz w:val="28"/>
          <w:szCs w:val="28"/>
        </w:rPr>
        <w:t>文化的建设和推广。反洗钱管理方面，负责相关制度修订、流程调整；组织开展反洗钱内外部检查、风险评估相关工作。会议决策及其专项工作方面，承担风险管理委员会、信贷审查委员会办公室和反洗</w:t>
      </w:r>
      <w:proofErr w:type="gramStart"/>
      <w:r>
        <w:rPr>
          <w:rFonts w:ascii="仿宋_GB2312" w:eastAsia="仿宋_GB2312" w:hAnsi="仿宋_GB2312" w:cs="仿宋_GB2312" w:hint="eastAsia"/>
          <w:spacing w:val="14"/>
          <w:kern w:val="0"/>
          <w:sz w:val="28"/>
          <w:szCs w:val="28"/>
        </w:rPr>
        <w:t>钱领导</w:t>
      </w:r>
      <w:proofErr w:type="gramEnd"/>
      <w:r>
        <w:rPr>
          <w:rFonts w:ascii="仿宋_GB2312" w:eastAsia="仿宋_GB2312" w:hAnsi="仿宋_GB2312" w:cs="仿宋_GB2312" w:hint="eastAsia"/>
          <w:spacing w:val="14"/>
          <w:kern w:val="0"/>
          <w:sz w:val="28"/>
          <w:szCs w:val="28"/>
        </w:rPr>
        <w:t>工作小组办公室的职能；牵头组织年度监管评级工作、年度稳健</w:t>
      </w:r>
      <w:r>
        <w:rPr>
          <w:rFonts w:ascii="仿宋_GB2312" w:eastAsia="仿宋_GB2312" w:hAnsi="仿宋_GB2312" w:cs="仿宋_GB2312" w:hint="eastAsia"/>
          <w:spacing w:val="14"/>
          <w:kern w:val="0"/>
          <w:sz w:val="28"/>
          <w:szCs w:val="28"/>
        </w:rPr>
        <w:lastRenderedPageBreak/>
        <w:t>性评估工作、监管现场及非现场检查工作。（7）信息科技部是公司负责信息科技管理、信息化建设、网络安全管理和科技创新工作的职能部门。主要职责包括：负责组织制定实施公司信息科技及数字化转型发展战略及规划；负责统筹、组织、协调公司信息化项目的开发、运维和管理；负责统筹、组织和协调公司网络及信息系统的建设、网络及信息安全的管理和应急处置；负责公司电子设备类固定资产、通讯服务的采购、管理和维护；负责公司数据机房的建设、租赁、运维和管理；负责公司信息科技外包管理；负责公司信息科技相关的管理数据及信息的收集、统计和报告；负责公司信息科技宣传和培训的组织和实施；负责承担公司信息科技管理委员会办公室的相关职能；负责本部门职责范围内的内控制度建设；负责完成公司及领导交办的其他工作。（8）党群人事部是负责公司党建工作和人力资源管理工作的部门。负责</w:t>
      </w:r>
      <w:proofErr w:type="gramStart"/>
      <w:r>
        <w:rPr>
          <w:rFonts w:ascii="仿宋_GB2312" w:eastAsia="仿宋_GB2312" w:hAnsi="仿宋_GB2312" w:cs="仿宋_GB2312" w:hint="eastAsia"/>
          <w:spacing w:val="14"/>
          <w:kern w:val="0"/>
          <w:sz w:val="28"/>
          <w:szCs w:val="28"/>
        </w:rPr>
        <w:t>统筹党</w:t>
      </w:r>
      <w:proofErr w:type="gramEnd"/>
      <w:r>
        <w:rPr>
          <w:rFonts w:ascii="仿宋_GB2312" w:eastAsia="仿宋_GB2312" w:hAnsi="仿宋_GB2312" w:cs="仿宋_GB2312" w:hint="eastAsia"/>
          <w:spacing w:val="14"/>
          <w:kern w:val="0"/>
          <w:sz w:val="28"/>
          <w:szCs w:val="28"/>
        </w:rPr>
        <w:t>的建设工作，负责制定实施公司党建工作规划和年度工作要点；负责公司党支部“三会一课”等党内活动的策划、组织及实施；负责公司党的组织建设和党员教育、管理工作；负责开展党内宣传，落实意识形态和统战工作责任制；负责开展党内创先争优活动；负责公司思想政治工作、企业文化建设和精神文明建设；负责乡村振兴工作；负责公司干部人才队伍建设，负责制定实施人力资源战略规划及年度工作要点；负责公司机构设置、定责定岗定编；负责开展公司三项制度改革工作；负责员工职级岗位体系、人力配置、</w:t>
      </w:r>
      <w:r>
        <w:rPr>
          <w:rFonts w:ascii="仿宋_GB2312" w:eastAsia="仿宋_GB2312" w:hAnsi="仿宋_GB2312" w:cs="仿宋_GB2312" w:hint="eastAsia"/>
          <w:spacing w:val="14"/>
          <w:kern w:val="0"/>
          <w:sz w:val="28"/>
          <w:szCs w:val="28"/>
        </w:rPr>
        <w:lastRenderedPageBreak/>
        <w:t>选人用人、招聘与离职、劳动用工、员工福利、员工培训、绩效考核、离退休等的管理；负责公司薪酬规划、薪酬核定、人工成本预算、薪酬分配兑现等的管理；负责公司人事档案、外事、职称、计划生育等管理；负责本部门职责范围内的内控制度建设；负责完成公司及领导交办的其他工作。（9）纪律检查室是负责公司纪律检查和监督工作的部门。负责贯彻落实全面从严治党、党风廉政建设和反腐败工作；负责督促各部门落实中央八项规定精神、加强作风建设、整治“四风”突出问题；负责开展党章党纪党规及反腐倡廉宣传教育；负责组织开展纪律教育、警示教育活动；配合开展省国资委党委、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控股集团党委巡察及综合监督检查等工作，并督促落实反馈问题整改；组织开展公司专项监督检查工作；负责本部门职责范围内的内控制度建设；负责完成公司及领导交办的其他工作。（10）审计工作部是负责公司内部审计工作的部门。负责开展公司内部审计工作，包括审查和评价公司各项经营活动，风险状况、内部控制、信息科技管理和公司治理效果等，牵头组织开展审计发现问题的整改落实工作；制定审计相关制度及流程；承担公司审计委员会办公室职能；负责本部门职责范围内的内控制度建设；负责完成公司及领导交办的其他工作。</w:t>
      </w:r>
    </w:p>
    <w:p w14:paraId="7B0AF561" w14:textId="77777777" w:rsidR="004845EB" w:rsidRDefault="00000000">
      <w:pPr>
        <w:spacing w:beforeLines="50" w:before="156" w:afterLines="50" w:after="156" w:line="360" w:lineRule="auto"/>
        <w:ind w:firstLineChars="200" w:firstLine="616"/>
        <w:rPr>
          <w:rFonts w:ascii="楷体_GB2312" w:eastAsia="楷体_GB2312" w:hAnsi="楷体_GB2312" w:cs="楷体_GB2312" w:hint="eastAsia"/>
          <w:spacing w:val="14"/>
          <w:kern w:val="0"/>
          <w:sz w:val="28"/>
          <w:szCs w:val="28"/>
        </w:rPr>
      </w:pPr>
      <w:r>
        <w:rPr>
          <w:rFonts w:ascii="楷体_GB2312" w:eastAsia="楷体_GB2312" w:hAnsi="楷体_GB2312" w:cs="楷体_GB2312" w:hint="eastAsia"/>
          <w:spacing w:val="14"/>
          <w:kern w:val="0"/>
          <w:sz w:val="28"/>
          <w:szCs w:val="28"/>
        </w:rPr>
        <w:t>（二）风险的识别与评估</w:t>
      </w:r>
    </w:p>
    <w:p w14:paraId="6E747349"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财务公司内部控制的实施由法律</w:t>
      </w:r>
      <w:proofErr w:type="gramStart"/>
      <w:r>
        <w:rPr>
          <w:rFonts w:ascii="仿宋_GB2312" w:eastAsia="仿宋_GB2312" w:hAnsi="仿宋_GB2312" w:cs="仿宋_GB2312" w:hint="eastAsia"/>
          <w:spacing w:val="14"/>
          <w:kern w:val="0"/>
          <w:sz w:val="28"/>
          <w:szCs w:val="28"/>
        </w:rPr>
        <w:t>与风控事务</w:t>
      </w:r>
      <w:proofErr w:type="gramEnd"/>
      <w:r>
        <w:rPr>
          <w:rFonts w:ascii="仿宋_GB2312" w:eastAsia="仿宋_GB2312" w:hAnsi="仿宋_GB2312" w:cs="仿宋_GB2312" w:hint="eastAsia"/>
          <w:spacing w:val="14"/>
          <w:kern w:val="0"/>
          <w:sz w:val="28"/>
          <w:szCs w:val="28"/>
        </w:rPr>
        <w:t>部组织，审计工作部进行监督检查，各部门、机构在其职责范围内根据</w:t>
      </w:r>
      <w:r>
        <w:rPr>
          <w:rFonts w:ascii="仿宋_GB2312" w:eastAsia="仿宋_GB2312" w:hAnsi="仿宋_GB2312" w:cs="仿宋_GB2312" w:hint="eastAsia"/>
          <w:spacing w:val="14"/>
          <w:kern w:val="0"/>
          <w:sz w:val="28"/>
          <w:szCs w:val="28"/>
        </w:rPr>
        <w:lastRenderedPageBreak/>
        <w:t>各项业务的不同特点制定各自不同的风险控制制度、标准化操作流程、作业标准和风险防范措施，主要包括信用风险、操作风险、流动性风险以及合</w:t>
      </w:r>
      <w:proofErr w:type="gramStart"/>
      <w:r>
        <w:rPr>
          <w:rFonts w:ascii="仿宋_GB2312" w:eastAsia="仿宋_GB2312" w:hAnsi="仿宋_GB2312" w:cs="仿宋_GB2312" w:hint="eastAsia"/>
          <w:spacing w:val="14"/>
          <w:kern w:val="0"/>
          <w:sz w:val="28"/>
          <w:szCs w:val="28"/>
        </w:rPr>
        <w:t>规</w:t>
      </w:r>
      <w:proofErr w:type="gramEnd"/>
      <w:r>
        <w:rPr>
          <w:rFonts w:ascii="仿宋_GB2312" w:eastAsia="仿宋_GB2312" w:hAnsi="仿宋_GB2312" w:cs="仿宋_GB2312" w:hint="eastAsia"/>
          <w:spacing w:val="14"/>
          <w:kern w:val="0"/>
          <w:sz w:val="28"/>
          <w:szCs w:val="28"/>
        </w:rPr>
        <w:t>风险等，各部门责任分离、相互监督，对业务开展过程中的各种风险进行预测、评估和控制。</w:t>
      </w:r>
    </w:p>
    <w:p w14:paraId="0477AAD7" w14:textId="77777777" w:rsidR="004845EB" w:rsidRDefault="00000000">
      <w:pPr>
        <w:spacing w:beforeLines="50" w:before="156" w:afterLines="50" w:after="156" w:line="360" w:lineRule="auto"/>
        <w:ind w:firstLineChars="200" w:firstLine="616"/>
        <w:rPr>
          <w:rFonts w:ascii="楷体_GB2312" w:eastAsia="楷体_GB2312" w:hAnsi="楷体_GB2312" w:cs="楷体_GB2312" w:hint="eastAsia"/>
          <w:spacing w:val="14"/>
          <w:kern w:val="0"/>
          <w:sz w:val="28"/>
          <w:szCs w:val="28"/>
        </w:rPr>
      </w:pPr>
      <w:r>
        <w:rPr>
          <w:rFonts w:ascii="楷体_GB2312" w:eastAsia="楷体_GB2312" w:hAnsi="楷体_GB2312" w:cs="楷体_GB2312" w:hint="eastAsia"/>
          <w:spacing w:val="14"/>
          <w:kern w:val="0"/>
          <w:sz w:val="28"/>
          <w:szCs w:val="28"/>
        </w:rPr>
        <w:t>（三）内部控制措施</w:t>
      </w:r>
    </w:p>
    <w:p w14:paraId="7DE19C32"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风险控制重点是贷款、票据等信贷业务中的信用风险和操作风险，结算业务中的资金安全和操作风险，财务公司流动性风险以及计算机信息系统风险。对重点业务的风险控制采取以下措施：不相容职务分离控制、授权审批控制、会计系统控制、财务保护控制、运营分析控制等。上述措施可以单独进行，也可各种措施组合进行。</w:t>
      </w:r>
    </w:p>
    <w:p w14:paraId="53321CCE" w14:textId="77777777" w:rsidR="004845EB" w:rsidRDefault="00000000">
      <w:pPr>
        <w:spacing w:beforeLines="50" w:before="156" w:afterLines="50" w:after="156" w:line="360" w:lineRule="auto"/>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1、资金管理</w:t>
      </w:r>
    </w:p>
    <w:p w14:paraId="4487E161" w14:textId="77777777" w:rsidR="004845EB" w:rsidRDefault="00000000">
      <w:pPr>
        <w:spacing w:beforeLines="50" w:before="156" w:afterLines="50" w:after="156" w:line="360" w:lineRule="auto"/>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广</w:t>
      </w:r>
      <w:proofErr w:type="gramStart"/>
      <w:r>
        <w:rPr>
          <w:rFonts w:ascii="仿宋_GB2312" w:eastAsia="仿宋_GB2312" w:hAnsi="仿宋_GB2312" w:cs="仿宋_GB2312" w:hint="eastAsia"/>
          <w:sz w:val="28"/>
          <w:szCs w:val="28"/>
        </w:rPr>
        <w:t>晟</w:t>
      </w:r>
      <w:proofErr w:type="gramEnd"/>
      <w:r>
        <w:rPr>
          <w:rFonts w:ascii="仿宋_GB2312" w:eastAsia="仿宋_GB2312" w:hAnsi="仿宋_GB2312" w:cs="仿宋_GB2312" w:hint="eastAsia"/>
          <w:sz w:val="28"/>
          <w:szCs w:val="28"/>
        </w:rPr>
        <w:t>财务公司根据监管机构的各项法规制度要求，搭建了较为完善的资金管理制度架构，制订了完善的管理办法及规定，通过程序制度化、流程标准化规避并控制业务风险。</w:t>
      </w:r>
    </w:p>
    <w:p w14:paraId="2BDE1836"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（1）在资金计划管理方面，广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经营严格遵循《企业集团财务公司管理办法》等相关法律法规，按照总量制约、结构对称、目标互补、风险分散的原则开展资产负债管理，并通过全面预算管理与日常资金计划管理相结合的管理方式，设置专人专岗负责管理，保证财务公司资金的流动性、安全性和盈利性。</w:t>
      </w:r>
    </w:p>
    <w:p w14:paraId="02539E85"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lastRenderedPageBreak/>
        <w:t>（2）在成员企业存款业务方面，广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财务公司严格遵循平等、自愿、公平和诚实信用的原则，保障成员企业资金的安全，维护各当事人的合法权益。</w:t>
      </w:r>
    </w:p>
    <w:p w14:paraId="5CF5120E"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（3）在转账结算业务方面，成员企业在广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财务公司开设结算账户，通过登录财务公司智能资金平台提交指令实现资金结算，严格保障结算的安全、快捷、通畅，同时具有较高的数据安全性。</w:t>
      </w:r>
    </w:p>
    <w:p w14:paraId="40C296B4"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（4）在融资业务方面，广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严格按照监管机构批准的业务范围，仅通过同业拆借方式进行对外融资，财务公司的同业拆借业务只限于与经批准进入全国银行间同业拆借市场的金融机构合作，且交易必须通过全国银行间同业拆借中心的电子交易系统办理。</w:t>
      </w:r>
    </w:p>
    <w:p w14:paraId="041C4C4A"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2、会计业务控制</w:t>
      </w:r>
    </w:p>
    <w:p w14:paraId="4CA75EA4"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财务公司按照会计制度的要求，建立并执行规范化的会计账务处理程序。广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财务公司设立了专门的财务核算部门，确保财务核算部门、会计人员能够按照国家统一的会计制度独立地办理会计业务。广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明确了财务核算部门、会计人员的权限，会计人员在各自的权限内办理有关业务，凡超越权限的，须经授权后，方可办理。财务公司结算、会计岗位设置实行职责分离、相互制约的原则，严禁一人兼任非相容的岗位或独自完成结算、会计全过程的业务操作。财务公司定期将</w:t>
      </w:r>
      <w:r>
        <w:rPr>
          <w:rFonts w:ascii="仿宋_GB2312" w:eastAsia="仿宋_GB2312" w:hAnsi="仿宋_GB2312" w:cs="仿宋_GB2312" w:hint="eastAsia"/>
          <w:spacing w:val="14"/>
          <w:kern w:val="0"/>
          <w:sz w:val="28"/>
          <w:szCs w:val="28"/>
        </w:rPr>
        <w:lastRenderedPageBreak/>
        <w:t>会计账簿与实物、款项及有关资料相互核对，保证账实、账据、账款、账证、账</w:t>
      </w:r>
      <w:proofErr w:type="gramStart"/>
      <w:r>
        <w:rPr>
          <w:rFonts w:ascii="仿宋_GB2312" w:eastAsia="仿宋_GB2312" w:hAnsi="仿宋_GB2312" w:cs="仿宋_GB2312" w:hint="eastAsia"/>
          <w:spacing w:val="14"/>
          <w:kern w:val="0"/>
          <w:sz w:val="28"/>
          <w:szCs w:val="28"/>
        </w:rPr>
        <w:t>账及账表</w:t>
      </w:r>
      <w:proofErr w:type="gramEnd"/>
      <w:r>
        <w:rPr>
          <w:rFonts w:ascii="仿宋_GB2312" w:eastAsia="仿宋_GB2312" w:hAnsi="仿宋_GB2312" w:cs="仿宋_GB2312" w:hint="eastAsia"/>
          <w:spacing w:val="14"/>
          <w:kern w:val="0"/>
          <w:sz w:val="28"/>
          <w:szCs w:val="28"/>
        </w:rPr>
        <w:t>之间的有关内容相符。</w:t>
      </w:r>
    </w:p>
    <w:p w14:paraId="4BE6966A"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按照专人管理、相互牵制、适当审批、严格登记的原则，加强对合同、票据、印章、密钥等的管理，印章、票据分人保管使用，重要合同和票据有连号控制、作废控制、空白凭证控制以及领用登记控制等专门措施。会计人员变动时，严格执行交接程序，在监交人的监督之下办清交接手续。</w:t>
      </w:r>
    </w:p>
    <w:p w14:paraId="68253C5E"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3、信贷业务控制</w:t>
      </w:r>
    </w:p>
    <w:p w14:paraId="7789D682"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财务公司贷款的对象仅限于广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控股集团的成员企业。财务公司通过不断修订和完善相关管理办法，规范了各类信贷业务操作流程，建立了贷前、贷中、贷后完整的信贷管理制度。</w:t>
      </w:r>
    </w:p>
    <w:p w14:paraId="7DF73CCC"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（1）建立职责明确、相互制约的审贷分离制度。广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财务公司根据贷款规模、种类、期限、担保条件确定审查程序和审批权限，严格按照程序和权限审查、审批贷款。广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建立和健全了信贷部门和信贷岗位工作责任制，信贷部门的岗位设置做到分工合理、职责明确。贷款调查评估人员负责贷款调查评估，承担调查失误和评估失准的责任；贷款审查人员负责贷款风险的审查，承担审查失误的责任；贷款发放人员负责贷款的检查和清收，承担检查失误、清收不力的责任。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财务公司建立了有效的贷款决策机制，设立信贷审查委员会，负</w:t>
      </w:r>
      <w:r>
        <w:rPr>
          <w:rFonts w:ascii="仿宋_GB2312" w:eastAsia="仿宋_GB2312" w:hAnsi="仿宋_GB2312" w:cs="仿宋_GB2312" w:hint="eastAsia"/>
          <w:spacing w:val="14"/>
          <w:kern w:val="0"/>
          <w:sz w:val="28"/>
          <w:szCs w:val="28"/>
        </w:rPr>
        <w:lastRenderedPageBreak/>
        <w:t>责审议有关部门报请审议的各类信贷业务，委员会审议表决遵循集体审议、</w:t>
      </w:r>
      <w:proofErr w:type="gramStart"/>
      <w:r>
        <w:rPr>
          <w:rFonts w:ascii="仿宋_GB2312" w:eastAsia="仿宋_GB2312" w:hAnsi="仿宋_GB2312" w:cs="仿宋_GB2312" w:hint="eastAsia"/>
          <w:spacing w:val="14"/>
          <w:kern w:val="0"/>
          <w:sz w:val="28"/>
          <w:szCs w:val="28"/>
        </w:rPr>
        <w:t>明确发表</w:t>
      </w:r>
      <w:proofErr w:type="gramEnd"/>
      <w:r>
        <w:rPr>
          <w:rFonts w:ascii="仿宋_GB2312" w:eastAsia="仿宋_GB2312" w:hAnsi="仿宋_GB2312" w:cs="仿宋_GB2312" w:hint="eastAsia"/>
          <w:spacing w:val="14"/>
          <w:kern w:val="0"/>
          <w:sz w:val="28"/>
          <w:szCs w:val="28"/>
        </w:rPr>
        <w:t>意见、多数同意通过的原则，全部意见记录存档。财务公司总经理不担任信贷审查委员会委员，但可以否决信贷审查委员会的决定。</w:t>
      </w:r>
    </w:p>
    <w:p w14:paraId="10E45CD1"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（2）严格执行贷后管理制度。信贷业务管理部门负责对贷出款项的贷款用途、收息情况、逾期贷款和展期贷款进行监控管理，对贷款的安全性和</w:t>
      </w:r>
      <w:proofErr w:type="gramStart"/>
      <w:r>
        <w:rPr>
          <w:rFonts w:ascii="仿宋_GB2312" w:eastAsia="仿宋_GB2312" w:hAnsi="仿宋_GB2312" w:cs="仿宋_GB2312" w:hint="eastAsia"/>
          <w:spacing w:val="14"/>
          <w:kern w:val="0"/>
          <w:sz w:val="28"/>
          <w:szCs w:val="28"/>
        </w:rPr>
        <w:t>可</w:t>
      </w:r>
      <w:proofErr w:type="gramEnd"/>
      <w:r>
        <w:rPr>
          <w:rFonts w:ascii="仿宋_GB2312" w:eastAsia="仿宋_GB2312" w:hAnsi="仿宋_GB2312" w:cs="仿宋_GB2312" w:hint="eastAsia"/>
          <w:spacing w:val="14"/>
          <w:kern w:val="0"/>
          <w:sz w:val="28"/>
          <w:szCs w:val="28"/>
        </w:rPr>
        <w:t>收回性进行贷后检查。广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财务公司建立了资产风险分类制度，规范资产质量的认定标准和程序，严禁掩盖不良资产的真实情况，确保资产质量的真实性。</w:t>
      </w:r>
    </w:p>
    <w:p w14:paraId="23C97766"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（3）建立客户管理信息档案，全面和集中掌握客户的资信水平、经营财务状况、偿债能力等信息，对客户进行分类管理，对列入“黑名单”、有逃废债等行为的资信不良的借款人实施授信禁入。</w:t>
      </w:r>
    </w:p>
    <w:p w14:paraId="02F643BF"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4、投资业务控制</w:t>
      </w:r>
    </w:p>
    <w:p w14:paraId="3C91B900"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财务公司投资业务主要是指固定收益类有价证券投资，根据相关监管规定，财务公司建立了完善的投资业务管理制度与流程。</w:t>
      </w:r>
    </w:p>
    <w:p w14:paraId="3D72FAD6"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（1）董事会是固定收益类有价证券投资业务最高决策机构，负责确定固定收益类有价证券投资原则、投资策略、投资规模、投资品种和</w:t>
      </w:r>
      <w:proofErr w:type="gramStart"/>
      <w:r>
        <w:rPr>
          <w:rFonts w:ascii="仿宋_GB2312" w:eastAsia="仿宋_GB2312" w:hAnsi="仿宋_GB2312" w:cs="仿宋_GB2312" w:hint="eastAsia"/>
          <w:spacing w:val="14"/>
          <w:kern w:val="0"/>
          <w:sz w:val="28"/>
          <w:szCs w:val="28"/>
        </w:rPr>
        <w:t>可</w:t>
      </w:r>
      <w:proofErr w:type="gramEnd"/>
      <w:r>
        <w:rPr>
          <w:rFonts w:ascii="仿宋_GB2312" w:eastAsia="仿宋_GB2312" w:hAnsi="仿宋_GB2312" w:cs="仿宋_GB2312" w:hint="eastAsia"/>
          <w:spacing w:val="14"/>
          <w:kern w:val="0"/>
          <w:sz w:val="28"/>
          <w:szCs w:val="28"/>
        </w:rPr>
        <w:t>承受的风险限额，审批有价证券年度投资方案。</w:t>
      </w:r>
    </w:p>
    <w:p w14:paraId="7F0DB94F"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lastRenderedPageBreak/>
        <w:t>（2）投资决策委员会是固定收益类有价证券投资业务运作的审批机构，在授权范围内负责审议批准具体的资产配置、投资类型、投资期限、投资金额等操作方案；审议批准固定收益类有价证券投资业务的交易对手准入，并对投资运作过程中的突发情况进行管理和决策。</w:t>
      </w:r>
    </w:p>
    <w:p w14:paraId="4C8AF62C"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（3）投资业务由资金管理部门根据实际需求情况发起业务流程，经法律</w:t>
      </w:r>
      <w:proofErr w:type="gramStart"/>
      <w:r>
        <w:rPr>
          <w:rFonts w:ascii="仿宋_GB2312" w:eastAsia="仿宋_GB2312" w:hAnsi="仿宋_GB2312" w:cs="仿宋_GB2312" w:hint="eastAsia"/>
          <w:spacing w:val="14"/>
          <w:kern w:val="0"/>
          <w:sz w:val="28"/>
          <w:szCs w:val="28"/>
        </w:rPr>
        <w:t>与风控事务</w:t>
      </w:r>
      <w:proofErr w:type="gramEnd"/>
      <w:r>
        <w:rPr>
          <w:rFonts w:ascii="仿宋_GB2312" w:eastAsia="仿宋_GB2312" w:hAnsi="仿宋_GB2312" w:cs="仿宋_GB2312" w:hint="eastAsia"/>
          <w:spacing w:val="14"/>
          <w:kern w:val="0"/>
          <w:sz w:val="28"/>
          <w:szCs w:val="28"/>
        </w:rPr>
        <w:t>部进行风险审查后会签。如有涉及信用风险的投资业务，由信贷管理部门协助法律</w:t>
      </w:r>
      <w:proofErr w:type="gramStart"/>
      <w:r>
        <w:rPr>
          <w:rFonts w:ascii="仿宋_GB2312" w:eastAsia="仿宋_GB2312" w:hAnsi="仿宋_GB2312" w:cs="仿宋_GB2312" w:hint="eastAsia"/>
          <w:spacing w:val="14"/>
          <w:kern w:val="0"/>
          <w:sz w:val="28"/>
          <w:szCs w:val="28"/>
        </w:rPr>
        <w:t>与风控事务</w:t>
      </w:r>
      <w:proofErr w:type="gramEnd"/>
      <w:r>
        <w:rPr>
          <w:rFonts w:ascii="仿宋_GB2312" w:eastAsia="仿宋_GB2312" w:hAnsi="仿宋_GB2312" w:cs="仿宋_GB2312" w:hint="eastAsia"/>
          <w:spacing w:val="14"/>
          <w:kern w:val="0"/>
          <w:sz w:val="28"/>
          <w:szCs w:val="28"/>
        </w:rPr>
        <w:t>部对业务进行信用风险审查。业务相关部门会签后，由财务公司有权审批人审批后办理。</w:t>
      </w:r>
    </w:p>
    <w:p w14:paraId="0A12D42C"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（4）财务公司开展投资业务严格遵循《广东省广晟财务有限公司全面风险管理办法》相关规定进行风险管理，严控包括合</w:t>
      </w:r>
      <w:proofErr w:type="gramStart"/>
      <w:r>
        <w:rPr>
          <w:rFonts w:ascii="仿宋_GB2312" w:eastAsia="仿宋_GB2312" w:hAnsi="仿宋_GB2312" w:cs="仿宋_GB2312" w:hint="eastAsia"/>
          <w:spacing w:val="14"/>
          <w:kern w:val="0"/>
          <w:sz w:val="28"/>
          <w:szCs w:val="28"/>
        </w:rPr>
        <w:t>规</w:t>
      </w:r>
      <w:proofErr w:type="gramEnd"/>
      <w:r>
        <w:rPr>
          <w:rFonts w:ascii="仿宋_GB2312" w:eastAsia="仿宋_GB2312" w:hAnsi="仿宋_GB2312" w:cs="仿宋_GB2312" w:hint="eastAsia"/>
          <w:spacing w:val="14"/>
          <w:kern w:val="0"/>
          <w:sz w:val="28"/>
          <w:szCs w:val="28"/>
        </w:rPr>
        <w:t>风险、信用风险、流动性风险、市场风险和操作风险。</w:t>
      </w:r>
    </w:p>
    <w:p w14:paraId="0F625BD4"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5、内部审计管理</w:t>
      </w:r>
    </w:p>
    <w:p w14:paraId="4B697E33"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根据公司治理要求，由董事会负责指导、检查和评估财务公司内部审计工作，对内部审计的独立性和有效性承担最终责任。董事会下设审计委员会，负责制定财务公司审计制度和中长期审计规划、审定年度审计计划和专项审计报告等，监督财务公司审计工作开展、评价审计工作成效。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财务公司设立审计工作部，直接对审计委员会及公司主要负责人负责及报告工作，并向高级管理层通报。审计工作部负责组</w:t>
      </w:r>
      <w:r>
        <w:rPr>
          <w:rFonts w:ascii="仿宋_GB2312" w:eastAsia="仿宋_GB2312" w:hAnsi="仿宋_GB2312" w:cs="仿宋_GB2312" w:hint="eastAsia"/>
          <w:spacing w:val="14"/>
          <w:kern w:val="0"/>
          <w:sz w:val="28"/>
          <w:szCs w:val="28"/>
        </w:rPr>
        <w:lastRenderedPageBreak/>
        <w:t>织开展财务公司内部审计工作，审查评价并督促改善财务公司经营活动、风险管理、内控合</w:t>
      </w:r>
      <w:proofErr w:type="gramStart"/>
      <w:r>
        <w:rPr>
          <w:rFonts w:ascii="仿宋_GB2312" w:eastAsia="仿宋_GB2312" w:hAnsi="仿宋_GB2312" w:cs="仿宋_GB2312" w:hint="eastAsia"/>
          <w:spacing w:val="14"/>
          <w:kern w:val="0"/>
          <w:sz w:val="28"/>
          <w:szCs w:val="28"/>
        </w:rPr>
        <w:t>规</w:t>
      </w:r>
      <w:proofErr w:type="gramEnd"/>
      <w:r>
        <w:rPr>
          <w:rFonts w:ascii="仿宋_GB2312" w:eastAsia="仿宋_GB2312" w:hAnsi="仿宋_GB2312" w:cs="仿宋_GB2312" w:hint="eastAsia"/>
          <w:spacing w:val="14"/>
          <w:kern w:val="0"/>
          <w:sz w:val="28"/>
          <w:szCs w:val="28"/>
        </w:rPr>
        <w:t>和公司治理效果，拟定并落实中长期审计规划和年度审计计划，监督整改落实情况，对审计项目的质量负责，并行使《中华人民共和国公司法》规定的监事会的职责。</w:t>
      </w:r>
    </w:p>
    <w:p w14:paraId="291B4E7C"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6、信息系统控制</w:t>
      </w:r>
    </w:p>
    <w:p w14:paraId="179EAA5D"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已构建较为完善的信息系统全面控制体系，并持续强化信息系统的一般控制与应用控制工作。依据监管部门相关要求，公司设立独立的信息科技部，明确界定该部门的核心职责与各岗位任职标准，严格落实信息系统在开发、管理、应用、运维及安全等全流程的工作职责，确保各项工作有序推进。同时为有效契合监管部门要求，公司通过制定并不断完善计算机与网络管理、信息系统运营规范、网络与信息安全风险防范机制、信息科技外包管理办法等一系列制度及配套措施，形成系统化的合</w:t>
      </w:r>
      <w:proofErr w:type="gramStart"/>
      <w:r>
        <w:rPr>
          <w:rFonts w:ascii="仿宋_GB2312" w:eastAsia="仿宋_GB2312" w:hAnsi="仿宋_GB2312" w:cs="仿宋_GB2312" w:hint="eastAsia"/>
          <w:spacing w:val="14"/>
          <w:kern w:val="0"/>
          <w:sz w:val="28"/>
          <w:szCs w:val="28"/>
        </w:rPr>
        <w:t>规</w:t>
      </w:r>
      <w:proofErr w:type="gramEnd"/>
      <w:r>
        <w:rPr>
          <w:rFonts w:ascii="仿宋_GB2312" w:eastAsia="仿宋_GB2312" w:hAnsi="仿宋_GB2312" w:cs="仿宋_GB2312" w:hint="eastAsia"/>
          <w:spacing w:val="14"/>
          <w:kern w:val="0"/>
          <w:sz w:val="28"/>
          <w:szCs w:val="28"/>
        </w:rPr>
        <w:t>管理体系。​</w:t>
      </w:r>
    </w:p>
    <w:p w14:paraId="3CFA77EB"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新一代核心业务系统的建设，是以商业银行信息化建设标准为核心蓝本，以选用市场主流成熟产品为基础支撑，重点围绕物理安全、网络安全、主机安全、应用安全、数据安全及备份恢复等关键领域构建防护体系。通过部署访问控制、入侵防御、入侵监测、CA 认证加密技术、短信认证、应用可用性监控等多层次立体型保护技术手段，全面保障系统安</w:t>
      </w:r>
      <w:r>
        <w:rPr>
          <w:rFonts w:ascii="仿宋_GB2312" w:eastAsia="仿宋_GB2312" w:hAnsi="仿宋_GB2312" w:cs="仿宋_GB2312" w:hint="eastAsia"/>
          <w:spacing w:val="14"/>
          <w:kern w:val="0"/>
          <w:sz w:val="28"/>
          <w:szCs w:val="28"/>
        </w:rPr>
        <w:lastRenderedPageBreak/>
        <w:t>全稳定运行、数据可靠传输及存储恢复能力等。具体措施包括一是业务系统安全防护。采用部署防火墙、入侵防御系统、入侵监测系统、网络流量分析系统、态势感知系统、动态欺骗系统、网络审计系统等技术，并配置双互联网链路冗余、双机冗余热备、防火墙、WAF等安全设备系统，确保新一代核心业务系统持续安全可靠运行。二是数据安全与存储保障。采用部署数据库加密、数据脱敏、终端安全管控系统等技术，同时建立数据本地、同城、异地数据中心机房存储备份机制，有效保障数据安全及应急恢复能力。三是用户身份认证管理。采用 “个人账号密码 + CA 证书认证 + 短信验证”的三因子认证模式，精准甄别用户身份，防范冒名操作、数据篡改及操作抵赖等风险。四是权限管理与职责分离。信息系统由信息科技部设置专岗进行专职管理，系统模块按业务类型分配至各业务部门及相关岗位人员使用，所有权限授予均依据公司相关管理制度及操作流程完成审批后，由信息科技部按审批要求执行，确保相关系统操作人员仅在其管辖业务范围内行使操作权限；同时，根据业务实际需求及时对权限进行更新与调整，切实实现系统管理权限与操作权限的有效分离，防范权限滥用风险。</w:t>
      </w:r>
    </w:p>
    <w:p w14:paraId="6FD74CCF" w14:textId="77777777" w:rsidR="004845EB" w:rsidRPr="00795C99" w:rsidRDefault="00000000" w:rsidP="00795C99">
      <w:pPr>
        <w:spacing w:beforeLines="50" w:before="156" w:afterLines="50" w:after="156" w:line="360" w:lineRule="auto"/>
        <w:ind w:firstLineChars="200" w:firstLine="616"/>
        <w:rPr>
          <w:rFonts w:ascii="楷体_GB2312" w:eastAsia="楷体_GB2312" w:hAnsi="楷体_GB2312" w:cs="楷体_GB2312" w:hint="eastAsia"/>
          <w:spacing w:val="14"/>
          <w:kern w:val="0"/>
          <w:sz w:val="28"/>
          <w:szCs w:val="28"/>
        </w:rPr>
      </w:pPr>
      <w:r w:rsidRPr="00795C99">
        <w:rPr>
          <w:rFonts w:ascii="楷体_GB2312" w:eastAsia="楷体_GB2312" w:hAnsi="楷体_GB2312" w:cs="楷体_GB2312" w:hint="eastAsia"/>
          <w:spacing w:val="14"/>
          <w:kern w:val="0"/>
          <w:sz w:val="28"/>
          <w:szCs w:val="28"/>
        </w:rPr>
        <w:t>（四）应急准备与处置</w:t>
      </w:r>
    </w:p>
    <w:p w14:paraId="31AA8441"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z w:val="28"/>
          <w:szCs w:val="28"/>
        </w:rPr>
      </w:pPr>
      <w:r>
        <w:rPr>
          <w:rFonts w:ascii="仿宋_GB2312" w:eastAsia="仿宋_GB2312" w:hAnsi="仿宋_GB2312" w:cs="仿宋_GB2312" w:hint="eastAsia"/>
          <w:spacing w:val="14"/>
          <w:kern w:val="0"/>
          <w:sz w:val="28"/>
          <w:szCs w:val="28"/>
        </w:rPr>
        <w:t>为严格贯彻落实监管部门关于突发事件处置的各项工作要求，广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财务公司始终将风险管理纳入日常工作核心范畴并持续深化落实，做到常抓不懈。针对因经营活动或其他各类问</w:t>
      </w:r>
      <w:r>
        <w:rPr>
          <w:rFonts w:ascii="仿宋_GB2312" w:eastAsia="仿宋_GB2312" w:hAnsi="仿宋_GB2312" w:cs="仿宋_GB2312" w:hint="eastAsia"/>
          <w:spacing w:val="14"/>
          <w:kern w:val="0"/>
          <w:sz w:val="28"/>
          <w:szCs w:val="28"/>
        </w:rPr>
        <w:lastRenderedPageBreak/>
        <w:t>题可能引发的公司资金安全风险，公司已专项设计应急处置程序，该程序可有效识别潜在意外事件及紧急情况（含计算机系统相关风险），进而预防或最大限度降低风险可能造成的损失。与此同时，公司已制定完善的业务连续性计划及业务运营中断事件应急演练方案，方案中明确界定重要业务覆盖范围，并对各重要业务对应的信息系统及恢复策略、数据追补具体方式、业务替代实施手段，以及相关关联部门的职责分工等内容做出详细规定。已全面覆盖公司所有重要业务领域，能够为保障公司业务持续稳定开展提供坚实支撑。</w:t>
      </w:r>
    </w:p>
    <w:p w14:paraId="75A0908B" w14:textId="77777777" w:rsidR="004845EB" w:rsidRPr="00795C99" w:rsidRDefault="00000000" w:rsidP="00795C99">
      <w:pPr>
        <w:spacing w:beforeLines="50" w:before="156" w:afterLines="50" w:after="156" w:line="360" w:lineRule="auto"/>
        <w:ind w:firstLineChars="200" w:firstLine="616"/>
        <w:rPr>
          <w:rFonts w:ascii="楷体_GB2312" w:eastAsia="楷体_GB2312" w:hAnsi="楷体_GB2312" w:cs="楷体_GB2312" w:hint="eastAsia"/>
          <w:spacing w:val="14"/>
          <w:kern w:val="0"/>
          <w:sz w:val="28"/>
          <w:szCs w:val="28"/>
        </w:rPr>
      </w:pPr>
      <w:r w:rsidRPr="00795C99">
        <w:rPr>
          <w:rFonts w:ascii="楷体_GB2312" w:eastAsia="楷体_GB2312" w:hAnsi="楷体_GB2312" w:cs="楷体_GB2312" w:hint="eastAsia"/>
          <w:spacing w:val="14"/>
          <w:kern w:val="0"/>
          <w:sz w:val="28"/>
          <w:szCs w:val="28"/>
        </w:rPr>
        <w:t>（五）内部控制总体评价</w:t>
      </w:r>
    </w:p>
    <w:p w14:paraId="2BD62A05"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自正式营运以来，广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财务公司定期开展了制度重检和梳理优化工作，通过全面梳理各业务现行的规章制度和操作流程，修订与实际业务操作流程不符的内容，及时废止不再适用的规章制度，有效提高了现行规章制度的合</w:t>
      </w:r>
      <w:proofErr w:type="gramStart"/>
      <w:r>
        <w:rPr>
          <w:rFonts w:ascii="仿宋_GB2312" w:eastAsia="仿宋_GB2312" w:hAnsi="仿宋_GB2312" w:cs="仿宋_GB2312" w:hint="eastAsia"/>
          <w:spacing w:val="14"/>
          <w:kern w:val="0"/>
          <w:sz w:val="28"/>
          <w:szCs w:val="28"/>
        </w:rPr>
        <w:t>规</w:t>
      </w:r>
      <w:proofErr w:type="gramEnd"/>
      <w:r>
        <w:rPr>
          <w:rFonts w:ascii="仿宋_GB2312" w:eastAsia="仿宋_GB2312" w:hAnsi="仿宋_GB2312" w:cs="仿宋_GB2312" w:hint="eastAsia"/>
          <w:spacing w:val="14"/>
          <w:kern w:val="0"/>
          <w:sz w:val="28"/>
          <w:szCs w:val="28"/>
        </w:rPr>
        <w:t>性，为各项业务合</w:t>
      </w:r>
      <w:proofErr w:type="gramStart"/>
      <w:r>
        <w:rPr>
          <w:rFonts w:ascii="仿宋_GB2312" w:eastAsia="仿宋_GB2312" w:hAnsi="仿宋_GB2312" w:cs="仿宋_GB2312" w:hint="eastAsia"/>
          <w:spacing w:val="14"/>
          <w:kern w:val="0"/>
          <w:sz w:val="28"/>
          <w:szCs w:val="28"/>
        </w:rPr>
        <w:t>规</w:t>
      </w:r>
      <w:proofErr w:type="gramEnd"/>
      <w:r>
        <w:rPr>
          <w:rFonts w:ascii="仿宋_GB2312" w:eastAsia="仿宋_GB2312" w:hAnsi="仿宋_GB2312" w:cs="仿宋_GB2312" w:hint="eastAsia"/>
          <w:spacing w:val="14"/>
          <w:kern w:val="0"/>
          <w:sz w:val="28"/>
          <w:szCs w:val="28"/>
        </w:rPr>
        <w:t>操作、合</w:t>
      </w:r>
      <w:proofErr w:type="gramStart"/>
      <w:r>
        <w:rPr>
          <w:rFonts w:ascii="仿宋_GB2312" w:eastAsia="仿宋_GB2312" w:hAnsi="仿宋_GB2312" w:cs="仿宋_GB2312" w:hint="eastAsia"/>
          <w:spacing w:val="14"/>
          <w:kern w:val="0"/>
          <w:sz w:val="28"/>
          <w:szCs w:val="28"/>
        </w:rPr>
        <w:t>规</w:t>
      </w:r>
      <w:proofErr w:type="gramEnd"/>
      <w:r>
        <w:rPr>
          <w:rFonts w:ascii="仿宋_GB2312" w:eastAsia="仿宋_GB2312" w:hAnsi="仿宋_GB2312" w:cs="仿宋_GB2312" w:hint="eastAsia"/>
          <w:spacing w:val="14"/>
          <w:kern w:val="0"/>
          <w:sz w:val="28"/>
          <w:szCs w:val="28"/>
        </w:rPr>
        <w:t>经营提供了有力支撑。总体来看，广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财务公司的内部控制制度是完善的，执行是有效的。在资金管理方面较好地控制资金流转风险；在信贷业务方面财务公司建立了相应的信贷业务风险控制程序，使整体风险控制在合理水平。广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财务公司建立了有效的信息交流与反馈机制，确保董事会及时了解广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财务公司的经营和风险状况，确保每一项信息均能够传递给相关员工，各个部门和员工的有关信息均能够顺畅反馈。风险管理的信息交流与反馈机制主要包括以下方面：1、法律</w:t>
      </w:r>
      <w:proofErr w:type="gramStart"/>
      <w:r>
        <w:rPr>
          <w:rFonts w:ascii="仿宋_GB2312" w:eastAsia="仿宋_GB2312" w:hAnsi="仿宋_GB2312" w:cs="仿宋_GB2312" w:hint="eastAsia"/>
          <w:spacing w:val="14"/>
          <w:kern w:val="0"/>
          <w:sz w:val="28"/>
          <w:szCs w:val="28"/>
        </w:rPr>
        <w:t>与</w:t>
      </w:r>
      <w:r>
        <w:rPr>
          <w:rFonts w:ascii="仿宋_GB2312" w:eastAsia="仿宋_GB2312" w:hAnsi="仿宋_GB2312" w:cs="仿宋_GB2312" w:hint="eastAsia"/>
          <w:spacing w:val="14"/>
          <w:kern w:val="0"/>
          <w:sz w:val="28"/>
          <w:szCs w:val="28"/>
        </w:rPr>
        <w:lastRenderedPageBreak/>
        <w:t>风控事务</w:t>
      </w:r>
      <w:proofErr w:type="gramEnd"/>
      <w:r>
        <w:rPr>
          <w:rFonts w:ascii="仿宋_GB2312" w:eastAsia="仿宋_GB2312" w:hAnsi="仿宋_GB2312" w:cs="仿宋_GB2312" w:hint="eastAsia"/>
          <w:spacing w:val="14"/>
          <w:kern w:val="0"/>
          <w:sz w:val="28"/>
          <w:szCs w:val="28"/>
        </w:rPr>
        <w:t>部每年向董事会报告风险管理总体情况，每半年报告授权管理执行与落实情况，每季度汇报监管指标情况，每月跟踪分析监管指标执行情况。2、建立内部控制的报告和信息反馈制度，业务部门、审计工作部发现内部控制的隐患和缺陷，及时向高级管理层或相关部门报告。3、审计工作部对内部控制的制度建设和执行情况定期进行检查评价，提出改进建议。4、建立内部控制问题和缺陷的处理纠正机制，高级管理层根据内部控制的检查情况和评价结果，提出整改意见和纠正措施，并督促业务部门落实，将反馈信息及时传达到各有关部门和人员。5、加强内部风险管理及法律事务的培训与学习，提高全员风险管理及法律防范意识。</w:t>
      </w:r>
    </w:p>
    <w:p w14:paraId="5216CFAB" w14:textId="77777777" w:rsidR="004845EB" w:rsidRDefault="00000000">
      <w:pPr>
        <w:spacing w:beforeLines="50" w:before="156" w:afterLines="50" w:after="156" w:line="360" w:lineRule="auto"/>
        <w:ind w:firstLineChars="200" w:firstLine="620"/>
        <w:outlineLvl w:val="0"/>
        <w:rPr>
          <w:rFonts w:ascii="黑体" w:eastAsia="黑体" w:hAnsi="黑体" w:cs="黑体" w:hint="eastAsia"/>
          <w:bCs/>
          <w:spacing w:val="15"/>
          <w:kern w:val="0"/>
          <w:sz w:val="28"/>
          <w:szCs w:val="28"/>
        </w:rPr>
      </w:pPr>
      <w:r>
        <w:rPr>
          <w:rFonts w:ascii="黑体" w:eastAsia="黑体" w:hAnsi="黑体" w:cs="黑体" w:hint="eastAsia"/>
          <w:bCs/>
          <w:spacing w:val="15"/>
          <w:kern w:val="0"/>
          <w:sz w:val="28"/>
          <w:szCs w:val="28"/>
        </w:rPr>
        <w:t>三、广</w:t>
      </w:r>
      <w:proofErr w:type="gramStart"/>
      <w:r>
        <w:rPr>
          <w:rFonts w:ascii="黑体" w:eastAsia="黑体" w:hAnsi="黑体" w:cs="黑体" w:hint="eastAsia"/>
          <w:bCs/>
          <w:spacing w:val="15"/>
          <w:kern w:val="0"/>
          <w:sz w:val="28"/>
          <w:szCs w:val="28"/>
        </w:rPr>
        <w:t>晟</w:t>
      </w:r>
      <w:proofErr w:type="gramEnd"/>
      <w:r>
        <w:rPr>
          <w:rFonts w:ascii="黑体" w:eastAsia="黑体" w:hAnsi="黑体" w:cs="黑体" w:hint="eastAsia"/>
          <w:bCs/>
          <w:spacing w:val="15"/>
          <w:kern w:val="0"/>
          <w:sz w:val="28"/>
          <w:szCs w:val="28"/>
        </w:rPr>
        <w:t>财务公司经营管理及风险管理情况</w:t>
      </w:r>
    </w:p>
    <w:p w14:paraId="5029A265" w14:textId="77777777" w:rsidR="004845EB" w:rsidRDefault="00000000">
      <w:pPr>
        <w:spacing w:beforeLines="50" w:before="156" w:afterLines="50" w:after="156" w:line="360" w:lineRule="auto"/>
        <w:ind w:firstLineChars="200" w:firstLine="616"/>
        <w:rPr>
          <w:rFonts w:ascii="楷体_GB2312" w:eastAsia="楷体_GB2312" w:hAnsi="楷体_GB2312" w:cs="楷体_GB2312" w:hint="eastAsia"/>
          <w:spacing w:val="14"/>
          <w:kern w:val="0"/>
          <w:sz w:val="28"/>
          <w:szCs w:val="28"/>
        </w:rPr>
      </w:pPr>
      <w:r>
        <w:rPr>
          <w:rFonts w:ascii="楷体_GB2312" w:eastAsia="楷体_GB2312" w:hAnsi="楷体_GB2312" w:cs="楷体_GB2312" w:hint="eastAsia"/>
          <w:spacing w:val="14"/>
          <w:kern w:val="0"/>
          <w:sz w:val="28"/>
          <w:szCs w:val="28"/>
        </w:rPr>
        <w:t>（一）经营情况</w:t>
      </w:r>
    </w:p>
    <w:p w14:paraId="6847DD46"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截至2025年12月31日，广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未经审计资产总计99.65亿元，其中存放央行款项3.81亿元，存放同业款项28.70亿元，发放贷款和垫款61.82亿元；负债合计84.53亿元，其中吸收存款及同业存放84.39亿元；所有者权益合计15.12亿元，其中实收资本10.99亿元，未分配利润1.77亿元（以上数据未经注册会计师审计）。</w:t>
      </w:r>
    </w:p>
    <w:p w14:paraId="2800A571"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2025年1-12月，广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财务公司累计实现营业收入16,854.03万元（未经审计）；实现利润总额2,704.46万元（未</w:t>
      </w:r>
      <w:r>
        <w:rPr>
          <w:rFonts w:ascii="仿宋_GB2312" w:eastAsia="仿宋_GB2312" w:hAnsi="仿宋_GB2312" w:cs="仿宋_GB2312" w:hint="eastAsia"/>
          <w:spacing w:val="14"/>
          <w:kern w:val="0"/>
          <w:sz w:val="28"/>
          <w:szCs w:val="28"/>
        </w:rPr>
        <w:lastRenderedPageBreak/>
        <w:t>经审计）；实现税后净利润2,293.86万元（未经审计）。</w:t>
      </w:r>
    </w:p>
    <w:p w14:paraId="3BD79FD1" w14:textId="77777777" w:rsidR="004845EB" w:rsidRDefault="00000000">
      <w:pPr>
        <w:spacing w:beforeLines="50" w:before="156" w:afterLines="50" w:after="156" w:line="360" w:lineRule="auto"/>
        <w:ind w:firstLineChars="200" w:firstLine="616"/>
        <w:rPr>
          <w:rFonts w:ascii="楷体_GB2312" w:eastAsia="楷体_GB2312" w:hAnsi="楷体_GB2312" w:cs="楷体_GB2312" w:hint="eastAsia"/>
          <w:spacing w:val="14"/>
          <w:kern w:val="0"/>
          <w:sz w:val="28"/>
          <w:szCs w:val="28"/>
        </w:rPr>
      </w:pPr>
      <w:r>
        <w:rPr>
          <w:rFonts w:ascii="楷体_GB2312" w:eastAsia="楷体_GB2312" w:hAnsi="楷体_GB2312" w:cs="楷体_GB2312" w:hint="eastAsia"/>
          <w:spacing w:val="14"/>
          <w:kern w:val="0"/>
          <w:sz w:val="28"/>
          <w:szCs w:val="28"/>
        </w:rPr>
        <w:t>（二）管理情况</w:t>
      </w:r>
    </w:p>
    <w:p w14:paraId="5A1ADE81"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自成立以来，一直坚持稳健经营的原则，严格按照《中华人民共和国公司法》《中华人民共和国银行业监督管理法》《企业会计准则》《企业集团财务公司管理办法》《银行保险机构公司治理准则》和国家有关金融法规、条例以及公司章程规范经营行为，加强内部管理。</w:t>
      </w:r>
    </w:p>
    <w:p w14:paraId="53D6E2F0" w14:textId="77777777" w:rsidR="004845EB" w:rsidRDefault="00000000">
      <w:pPr>
        <w:spacing w:beforeLines="50" w:before="156" w:afterLines="50" w:after="156" w:line="360" w:lineRule="auto"/>
        <w:ind w:firstLineChars="200" w:firstLine="616"/>
        <w:rPr>
          <w:rFonts w:ascii="楷体_GB2312" w:eastAsia="楷体_GB2312" w:hAnsi="楷体_GB2312" w:cs="楷体_GB2312" w:hint="eastAsia"/>
          <w:spacing w:val="14"/>
          <w:kern w:val="0"/>
          <w:sz w:val="28"/>
          <w:szCs w:val="28"/>
        </w:rPr>
      </w:pPr>
      <w:r>
        <w:rPr>
          <w:rFonts w:ascii="楷体_GB2312" w:eastAsia="楷体_GB2312" w:hAnsi="楷体_GB2312" w:cs="楷体_GB2312" w:hint="eastAsia"/>
          <w:spacing w:val="14"/>
          <w:kern w:val="0"/>
          <w:sz w:val="28"/>
          <w:szCs w:val="28"/>
        </w:rPr>
        <w:t>（三）监管指标</w:t>
      </w:r>
    </w:p>
    <w:p w14:paraId="75CCF67D"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根据《企业集团财务公司管理办法》规定，截至2025年12月31日，广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财务公司的各项监管指标均符合规定要求：</w:t>
      </w:r>
    </w:p>
    <w:tbl>
      <w:tblPr>
        <w:tblW w:w="7878" w:type="dxa"/>
        <w:jc w:val="center"/>
        <w:tblLayout w:type="fixed"/>
        <w:tblLook w:val="04A0" w:firstRow="1" w:lastRow="0" w:firstColumn="1" w:lastColumn="0" w:noHBand="0" w:noVBand="1"/>
      </w:tblPr>
      <w:tblGrid>
        <w:gridCol w:w="787"/>
        <w:gridCol w:w="2002"/>
        <w:gridCol w:w="2218"/>
        <w:gridCol w:w="1401"/>
        <w:gridCol w:w="1470"/>
      </w:tblGrid>
      <w:tr w:rsidR="004845EB" w14:paraId="73E8D339" w14:textId="77777777">
        <w:trPr>
          <w:trHeight w:val="1010"/>
          <w:tblHeader/>
          <w:jc w:val="center"/>
        </w:trPr>
        <w:tc>
          <w:tcPr>
            <w:tcW w:w="787" w:type="dxa"/>
            <w:tcBorders>
              <w:top w:val="single" w:sz="4" w:space="0" w:color="auto"/>
              <w:left w:val="single" w:sz="4" w:space="0" w:color="auto"/>
              <w:bottom w:val="single" w:sz="4" w:space="0" w:color="auto"/>
              <w:right w:val="single" w:sz="4" w:space="0" w:color="auto"/>
            </w:tcBorders>
            <w:vAlign w:val="center"/>
          </w:tcPr>
          <w:p w14:paraId="5319096D"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序号</w:t>
            </w:r>
          </w:p>
        </w:tc>
        <w:tc>
          <w:tcPr>
            <w:tcW w:w="2002" w:type="dxa"/>
            <w:tcBorders>
              <w:top w:val="single" w:sz="4" w:space="0" w:color="auto"/>
              <w:left w:val="single" w:sz="4" w:space="0" w:color="auto"/>
              <w:bottom w:val="single" w:sz="4" w:space="0" w:color="auto"/>
              <w:right w:val="single" w:sz="4" w:space="0" w:color="auto"/>
            </w:tcBorders>
            <w:vAlign w:val="center"/>
          </w:tcPr>
          <w:p w14:paraId="028B89B8"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指标</w:t>
            </w:r>
          </w:p>
        </w:tc>
        <w:tc>
          <w:tcPr>
            <w:tcW w:w="2218" w:type="dxa"/>
            <w:tcBorders>
              <w:top w:val="single" w:sz="4" w:space="0" w:color="auto"/>
              <w:left w:val="single" w:sz="4" w:space="0" w:color="auto"/>
              <w:bottom w:val="single" w:sz="4" w:space="0" w:color="auto"/>
              <w:right w:val="single" w:sz="4" w:space="0" w:color="auto"/>
            </w:tcBorders>
            <w:vAlign w:val="center"/>
          </w:tcPr>
          <w:p w14:paraId="3E2F19A2"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 xml:space="preserve">指标解释 </w:t>
            </w:r>
          </w:p>
        </w:tc>
        <w:tc>
          <w:tcPr>
            <w:tcW w:w="1401" w:type="dxa"/>
            <w:tcBorders>
              <w:top w:val="single" w:sz="4" w:space="0" w:color="auto"/>
              <w:left w:val="single" w:sz="4" w:space="0" w:color="auto"/>
              <w:bottom w:val="single" w:sz="4" w:space="0" w:color="auto"/>
              <w:right w:val="single" w:sz="4" w:space="0" w:color="auto"/>
            </w:tcBorders>
            <w:vAlign w:val="center"/>
          </w:tcPr>
          <w:p w14:paraId="2FF721C3"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监管标准</w:t>
            </w:r>
          </w:p>
        </w:tc>
        <w:tc>
          <w:tcPr>
            <w:tcW w:w="1470" w:type="dxa"/>
            <w:tcBorders>
              <w:top w:val="single" w:sz="4" w:space="0" w:color="auto"/>
              <w:left w:val="single" w:sz="4" w:space="0" w:color="auto"/>
              <w:bottom w:val="single" w:sz="4" w:space="0" w:color="auto"/>
              <w:right w:val="single" w:sz="4" w:space="0" w:color="auto"/>
            </w:tcBorders>
            <w:vAlign w:val="center"/>
          </w:tcPr>
          <w:p w14:paraId="36D71261" w14:textId="77777777" w:rsidR="004845EB" w:rsidRDefault="00000000">
            <w:pPr>
              <w:jc w:val="center"/>
              <w:rPr>
                <w:rFonts w:ascii="仿宋_GB2312" w:eastAsia="仿宋_GB2312" w:hAnsi="仿宋_GB2312" w:cs="仿宋_GB2312" w:hint="eastAsia"/>
                <w:kern w:val="0"/>
                <w:sz w:val="24"/>
                <w:szCs w:val="24"/>
              </w:rPr>
            </w:pPr>
            <w:r>
              <w:rPr>
                <w:rFonts w:ascii="仿宋_GB2312" w:eastAsia="仿宋_GB2312" w:hint="eastAsia"/>
                <w:sz w:val="24"/>
              </w:rPr>
              <w:t>期末值</w:t>
            </w:r>
          </w:p>
        </w:tc>
      </w:tr>
      <w:tr w:rsidR="004845EB" w14:paraId="01433128" w14:textId="77777777">
        <w:trPr>
          <w:trHeight w:val="916"/>
          <w:jc w:val="center"/>
        </w:trPr>
        <w:tc>
          <w:tcPr>
            <w:tcW w:w="787" w:type="dxa"/>
            <w:tcBorders>
              <w:top w:val="nil"/>
              <w:left w:val="single" w:sz="4" w:space="0" w:color="auto"/>
              <w:bottom w:val="single" w:sz="4" w:space="0" w:color="auto"/>
              <w:right w:val="single" w:sz="4" w:space="0" w:color="auto"/>
            </w:tcBorders>
            <w:vAlign w:val="center"/>
          </w:tcPr>
          <w:p w14:paraId="45FC368E"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1</w:t>
            </w:r>
          </w:p>
        </w:tc>
        <w:tc>
          <w:tcPr>
            <w:tcW w:w="2002" w:type="dxa"/>
            <w:tcBorders>
              <w:top w:val="nil"/>
              <w:left w:val="single" w:sz="4" w:space="0" w:color="auto"/>
              <w:bottom w:val="single" w:sz="4" w:space="0" w:color="auto"/>
              <w:right w:val="single" w:sz="4" w:space="0" w:color="auto"/>
            </w:tcBorders>
            <w:vAlign w:val="center"/>
          </w:tcPr>
          <w:p w14:paraId="77C5C15F"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资本充足率</w:t>
            </w:r>
          </w:p>
        </w:tc>
        <w:tc>
          <w:tcPr>
            <w:tcW w:w="2218" w:type="dxa"/>
            <w:tcBorders>
              <w:top w:val="nil"/>
              <w:left w:val="single" w:sz="4" w:space="0" w:color="auto"/>
              <w:bottom w:val="single" w:sz="4" w:space="0" w:color="auto"/>
              <w:right w:val="single" w:sz="4" w:space="0" w:color="auto"/>
            </w:tcBorders>
            <w:vAlign w:val="center"/>
          </w:tcPr>
          <w:p w14:paraId="789846E7" w14:textId="77777777" w:rsidR="004845EB" w:rsidRDefault="00000000">
            <w:pPr>
              <w:widowControl/>
              <w:spacing w:line="360" w:lineRule="auto"/>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资本净额/风险加权资产合计</w:t>
            </w:r>
          </w:p>
        </w:tc>
        <w:tc>
          <w:tcPr>
            <w:tcW w:w="1401" w:type="dxa"/>
            <w:tcBorders>
              <w:top w:val="nil"/>
              <w:left w:val="single" w:sz="4" w:space="0" w:color="auto"/>
              <w:bottom w:val="single" w:sz="4" w:space="0" w:color="auto"/>
              <w:right w:val="single" w:sz="4" w:space="0" w:color="auto"/>
            </w:tcBorders>
            <w:vAlign w:val="center"/>
          </w:tcPr>
          <w:p w14:paraId="04E5139E"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≥10.5%</w:t>
            </w:r>
          </w:p>
        </w:tc>
        <w:tc>
          <w:tcPr>
            <w:tcW w:w="1470" w:type="dxa"/>
            <w:tcBorders>
              <w:top w:val="nil"/>
              <w:left w:val="single" w:sz="4" w:space="0" w:color="auto"/>
              <w:bottom w:val="single" w:sz="4" w:space="0" w:color="auto"/>
              <w:right w:val="single" w:sz="4" w:space="0" w:color="auto"/>
            </w:tcBorders>
            <w:vAlign w:val="center"/>
          </w:tcPr>
          <w:p w14:paraId="632E4613"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20.67%</w:t>
            </w:r>
          </w:p>
        </w:tc>
      </w:tr>
      <w:tr w:rsidR="004845EB" w14:paraId="7CD748B1" w14:textId="77777777">
        <w:trPr>
          <w:trHeight w:val="670"/>
          <w:jc w:val="center"/>
        </w:trPr>
        <w:tc>
          <w:tcPr>
            <w:tcW w:w="787" w:type="dxa"/>
            <w:tcBorders>
              <w:top w:val="nil"/>
              <w:left w:val="single" w:sz="4" w:space="0" w:color="auto"/>
              <w:bottom w:val="single" w:sz="4" w:space="0" w:color="auto"/>
              <w:right w:val="single" w:sz="4" w:space="0" w:color="auto"/>
            </w:tcBorders>
            <w:vAlign w:val="center"/>
          </w:tcPr>
          <w:p w14:paraId="09C16E60"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2</w:t>
            </w:r>
          </w:p>
        </w:tc>
        <w:tc>
          <w:tcPr>
            <w:tcW w:w="2002" w:type="dxa"/>
            <w:tcBorders>
              <w:top w:val="nil"/>
              <w:left w:val="single" w:sz="4" w:space="0" w:color="auto"/>
              <w:bottom w:val="single" w:sz="4" w:space="0" w:color="auto"/>
              <w:right w:val="single" w:sz="4" w:space="0" w:color="auto"/>
            </w:tcBorders>
            <w:vAlign w:val="center"/>
          </w:tcPr>
          <w:p w14:paraId="5CB41E1C"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流动性比例</w:t>
            </w:r>
          </w:p>
        </w:tc>
        <w:tc>
          <w:tcPr>
            <w:tcW w:w="2218" w:type="dxa"/>
            <w:tcBorders>
              <w:top w:val="nil"/>
              <w:left w:val="single" w:sz="4" w:space="0" w:color="auto"/>
              <w:bottom w:val="single" w:sz="4" w:space="0" w:color="auto"/>
              <w:right w:val="single" w:sz="4" w:space="0" w:color="auto"/>
            </w:tcBorders>
            <w:vAlign w:val="center"/>
          </w:tcPr>
          <w:p w14:paraId="04F3F739" w14:textId="77777777" w:rsidR="004845EB" w:rsidRDefault="00000000">
            <w:pPr>
              <w:widowControl/>
              <w:spacing w:line="360" w:lineRule="auto"/>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流动性资产/流动性负债</w:t>
            </w:r>
          </w:p>
        </w:tc>
        <w:tc>
          <w:tcPr>
            <w:tcW w:w="1401" w:type="dxa"/>
            <w:tcBorders>
              <w:top w:val="nil"/>
              <w:left w:val="single" w:sz="4" w:space="0" w:color="auto"/>
              <w:bottom w:val="single" w:sz="4" w:space="0" w:color="auto"/>
              <w:right w:val="single" w:sz="4" w:space="0" w:color="auto"/>
            </w:tcBorders>
            <w:vAlign w:val="center"/>
          </w:tcPr>
          <w:p w14:paraId="1E5FF5D0"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≥25%</w:t>
            </w:r>
          </w:p>
        </w:tc>
        <w:tc>
          <w:tcPr>
            <w:tcW w:w="1470" w:type="dxa"/>
            <w:tcBorders>
              <w:top w:val="nil"/>
              <w:left w:val="single" w:sz="4" w:space="0" w:color="auto"/>
              <w:bottom w:val="single" w:sz="4" w:space="0" w:color="auto"/>
              <w:right w:val="single" w:sz="4" w:space="0" w:color="auto"/>
            </w:tcBorders>
            <w:vAlign w:val="center"/>
          </w:tcPr>
          <w:p w14:paraId="6265F790"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kern w:val="0"/>
                <w:sz w:val="24"/>
                <w:szCs w:val="24"/>
              </w:rPr>
              <w:t>68.59%</w:t>
            </w:r>
          </w:p>
        </w:tc>
      </w:tr>
      <w:tr w:rsidR="004845EB" w14:paraId="13499574" w14:textId="77777777">
        <w:trPr>
          <w:trHeight w:val="500"/>
          <w:jc w:val="center"/>
        </w:trPr>
        <w:tc>
          <w:tcPr>
            <w:tcW w:w="787" w:type="dxa"/>
            <w:tcBorders>
              <w:top w:val="nil"/>
              <w:left w:val="single" w:sz="4" w:space="0" w:color="auto"/>
              <w:bottom w:val="single" w:sz="4" w:space="0" w:color="auto"/>
              <w:right w:val="single" w:sz="4" w:space="0" w:color="auto"/>
            </w:tcBorders>
            <w:vAlign w:val="center"/>
          </w:tcPr>
          <w:p w14:paraId="6A0CB864"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3</w:t>
            </w:r>
          </w:p>
        </w:tc>
        <w:tc>
          <w:tcPr>
            <w:tcW w:w="2002" w:type="dxa"/>
            <w:tcBorders>
              <w:top w:val="nil"/>
              <w:left w:val="single" w:sz="4" w:space="0" w:color="auto"/>
              <w:bottom w:val="single" w:sz="4" w:space="0" w:color="auto"/>
              <w:right w:val="single" w:sz="4" w:space="0" w:color="auto"/>
            </w:tcBorders>
            <w:vAlign w:val="center"/>
          </w:tcPr>
          <w:p w14:paraId="050ACB8B"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贷款比例</w:t>
            </w:r>
          </w:p>
        </w:tc>
        <w:tc>
          <w:tcPr>
            <w:tcW w:w="2218" w:type="dxa"/>
            <w:tcBorders>
              <w:top w:val="nil"/>
              <w:left w:val="single" w:sz="4" w:space="0" w:color="auto"/>
              <w:bottom w:val="single" w:sz="4" w:space="0" w:color="auto"/>
              <w:right w:val="single" w:sz="4" w:space="0" w:color="auto"/>
            </w:tcBorders>
            <w:vAlign w:val="center"/>
          </w:tcPr>
          <w:p w14:paraId="0A2F469A" w14:textId="77777777" w:rsidR="004845EB" w:rsidRDefault="00000000">
            <w:pPr>
              <w:widowControl/>
              <w:spacing w:line="360" w:lineRule="auto"/>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贷款余额/（存款余额+实收资本）</w:t>
            </w:r>
          </w:p>
        </w:tc>
        <w:tc>
          <w:tcPr>
            <w:tcW w:w="1401" w:type="dxa"/>
            <w:tcBorders>
              <w:top w:val="nil"/>
              <w:left w:val="single" w:sz="4" w:space="0" w:color="auto"/>
              <w:bottom w:val="single" w:sz="4" w:space="0" w:color="auto"/>
              <w:right w:val="single" w:sz="4" w:space="0" w:color="auto"/>
            </w:tcBorders>
            <w:vAlign w:val="center"/>
          </w:tcPr>
          <w:p w14:paraId="52B430C6"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≤80%</w:t>
            </w:r>
          </w:p>
        </w:tc>
        <w:tc>
          <w:tcPr>
            <w:tcW w:w="1470" w:type="dxa"/>
            <w:tcBorders>
              <w:top w:val="nil"/>
              <w:left w:val="single" w:sz="4" w:space="0" w:color="auto"/>
              <w:bottom w:val="single" w:sz="4" w:space="0" w:color="auto"/>
              <w:right w:val="single" w:sz="4" w:space="0" w:color="auto"/>
            </w:tcBorders>
            <w:vAlign w:val="center"/>
          </w:tcPr>
          <w:p w14:paraId="65C009EC"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67.34%</w:t>
            </w:r>
          </w:p>
        </w:tc>
      </w:tr>
      <w:tr w:rsidR="004845EB" w14:paraId="3E82B5C0" w14:textId="77777777">
        <w:trPr>
          <w:trHeight w:val="600"/>
          <w:jc w:val="center"/>
        </w:trPr>
        <w:tc>
          <w:tcPr>
            <w:tcW w:w="787" w:type="dxa"/>
            <w:tcBorders>
              <w:top w:val="nil"/>
              <w:left w:val="single" w:sz="4" w:space="0" w:color="auto"/>
              <w:bottom w:val="single" w:sz="4" w:space="0" w:color="auto"/>
              <w:right w:val="single" w:sz="4" w:space="0" w:color="auto"/>
            </w:tcBorders>
            <w:vAlign w:val="center"/>
          </w:tcPr>
          <w:p w14:paraId="08F73A24"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4</w:t>
            </w:r>
          </w:p>
        </w:tc>
        <w:tc>
          <w:tcPr>
            <w:tcW w:w="2002" w:type="dxa"/>
            <w:tcBorders>
              <w:top w:val="nil"/>
              <w:left w:val="single" w:sz="4" w:space="0" w:color="auto"/>
              <w:bottom w:val="single" w:sz="4" w:space="0" w:color="auto"/>
              <w:right w:val="single" w:sz="4" w:space="0" w:color="auto"/>
            </w:tcBorders>
            <w:vAlign w:val="center"/>
          </w:tcPr>
          <w:p w14:paraId="0F7E36FF"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集团外负债比例</w:t>
            </w:r>
          </w:p>
        </w:tc>
        <w:tc>
          <w:tcPr>
            <w:tcW w:w="2218" w:type="dxa"/>
            <w:tcBorders>
              <w:top w:val="nil"/>
              <w:left w:val="single" w:sz="4" w:space="0" w:color="auto"/>
              <w:bottom w:val="single" w:sz="4" w:space="0" w:color="auto"/>
              <w:right w:val="single" w:sz="4" w:space="0" w:color="auto"/>
            </w:tcBorders>
            <w:vAlign w:val="center"/>
          </w:tcPr>
          <w:p w14:paraId="781085C9" w14:textId="77777777" w:rsidR="004845EB" w:rsidRDefault="00000000">
            <w:pPr>
              <w:widowControl/>
              <w:spacing w:line="360" w:lineRule="auto"/>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集团外负债总额/资本净额</w:t>
            </w:r>
          </w:p>
        </w:tc>
        <w:tc>
          <w:tcPr>
            <w:tcW w:w="1401" w:type="dxa"/>
            <w:tcBorders>
              <w:top w:val="nil"/>
              <w:left w:val="single" w:sz="4" w:space="0" w:color="auto"/>
              <w:bottom w:val="single" w:sz="4" w:space="0" w:color="auto"/>
              <w:right w:val="single" w:sz="4" w:space="0" w:color="auto"/>
            </w:tcBorders>
            <w:vAlign w:val="center"/>
          </w:tcPr>
          <w:p w14:paraId="2CE97638"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≤100%</w:t>
            </w:r>
          </w:p>
        </w:tc>
        <w:tc>
          <w:tcPr>
            <w:tcW w:w="1470" w:type="dxa"/>
            <w:tcBorders>
              <w:top w:val="nil"/>
              <w:left w:val="single" w:sz="4" w:space="0" w:color="auto"/>
              <w:bottom w:val="single" w:sz="4" w:space="0" w:color="auto"/>
              <w:right w:val="single" w:sz="4" w:space="0" w:color="auto"/>
            </w:tcBorders>
            <w:vAlign w:val="center"/>
          </w:tcPr>
          <w:p w14:paraId="1369021C"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0</w:t>
            </w:r>
          </w:p>
        </w:tc>
      </w:tr>
      <w:tr w:rsidR="004845EB" w14:paraId="7672ED05" w14:textId="77777777">
        <w:trPr>
          <w:trHeight w:val="500"/>
          <w:jc w:val="center"/>
        </w:trPr>
        <w:tc>
          <w:tcPr>
            <w:tcW w:w="787" w:type="dxa"/>
            <w:tcBorders>
              <w:top w:val="nil"/>
              <w:left w:val="single" w:sz="4" w:space="0" w:color="auto"/>
              <w:bottom w:val="single" w:sz="4" w:space="0" w:color="auto"/>
              <w:right w:val="single" w:sz="4" w:space="0" w:color="auto"/>
            </w:tcBorders>
            <w:vAlign w:val="center"/>
          </w:tcPr>
          <w:p w14:paraId="37836ED4"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5</w:t>
            </w:r>
          </w:p>
        </w:tc>
        <w:tc>
          <w:tcPr>
            <w:tcW w:w="2002" w:type="dxa"/>
            <w:tcBorders>
              <w:top w:val="nil"/>
              <w:left w:val="single" w:sz="4" w:space="0" w:color="auto"/>
              <w:bottom w:val="single" w:sz="4" w:space="0" w:color="auto"/>
              <w:right w:val="single" w:sz="4" w:space="0" w:color="auto"/>
            </w:tcBorders>
            <w:vAlign w:val="center"/>
          </w:tcPr>
          <w:p w14:paraId="483F79F5"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票据承兑比例1</w:t>
            </w:r>
          </w:p>
        </w:tc>
        <w:tc>
          <w:tcPr>
            <w:tcW w:w="2218" w:type="dxa"/>
            <w:tcBorders>
              <w:top w:val="nil"/>
              <w:left w:val="single" w:sz="4" w:space="0" w:color="auto"/>
              <w:bottom w:val="single" w:sz="4" w:space="0" w:color="auto"/>
              <w:right w:val="single" w:sz="4" w:space="0" w:color="auto"/>
            </w:tcBorders>
            <w:vAlign w:val="center"/>
          </w:tcPr>
          <w:p w14:paraId="463675A9" w14:textId="77777777" w:rsidR="004845EB" w:rsidRDefault="00000000">
            <w:pPr>
              <w:widowControl/>
              <w:spacing w:line="360" w:lineRule="auto"/>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票据承兑余额/资产总额</w:t>
            </w:r>
          </w:p>
        </w:tc>
        <w:tc>
          <w:tcPr>
            <w:tcW w:w="1401" w:type="dxa"/>
            <w:tcBorders>
              <w:top w:val="nil"/>
              <w:left w:val="single" w:sz="4" w:space="0" w:color="auto"/>
              <w:bottom w:val="single" w:sz="4" w:space="0" w:color="auto"/>
              <w:right w:val="single" w:sz="4" w:space="0" w:color="auto"/>
            </w:tcBorders>
            <w:vAlign w:val="center"/>
          </w:tcPr>
          <w:p w14:paraId="324C9D13"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≤15%</w:t>
            </w:r>
          </w:p>
        </w:tc>
        <w:tc>
          <w:tcPr>
            <w:tcW w:w="1470" w:type="dxa"/>
            <w:tcBorders>
              <w:top w:val="nil"/>
              <w:left w:val="single" w:sz="4" w:space="0" w:color="auto"/>
              <w:bottom w:val="single" w:sz="4" w:space="0" w:color="auto"/>
              <w:right w:val="single" w:sz="4" w:space="0" w:color="auto"/>
            </w:tcBorders>
            <w:vAlign w:val="center"/>
          </w:tcPr>
          <w:p w14:paraId="4032C316"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1.06%</w:t>
            </w:r>
          </w:p>
        </w:tc>
      </w:tr>
      <w:tr w:rsidR="004845EB" w14:paraId="55AA3FD3" w14:textId="77777777">
        <w:trPr>
          <w:trHeight w:val="770"/>
          <w:jc w:val="center"/>
        </w:trPr>
        <w:tc>
          <w:tcPr>
            <w:tcW w:w="787" w:type="dxa"/>
            <w:tcBorders>
              <w:top w:val="nil"/>
              <w:left w:val="single" w:sz="4" w:space="0" w:color="auto"/>
              <w:bottom w:val="single" w:sz="4" w:space="0" w:color="auto"/>
              <w:right w:val="single" w:sz="4" w:space="0" w:color="auto"/>
            </w:tcBorders>
            <w:vAlign w:val="center"/>
          </w:tcPr>
          <w:p w14:paraId="31FBC457"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6</w:t>
            </w:r>
          </w:p>
        </w:tc>
        <w:tc>
          <w:tcPr>
            <w:tcW w:w="2002" w:type="dxa"/>
            <w:tcBorders>
              <w:top w:val="nil"/>
              <w:left w:val="single" w:sz="4" w:space="0" w:color="auto"/>
              <w:bottom w:val="single" w:sz="4" w:space="0" w:color="auto"/>
              <w:right w:val="single" w:sz="4" w:space="0" w:color="auto"/>
            </w:tcBorders>
            <w:vAlign w:val="center"/>
          </w:tcPr>
          <w:p w14:paraId="22A80A42"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票据承兑比例2</w:t>
            </w:r>
          </w:p>
        </w:tc>
        <w:tc>
          <w:tcPr>
            <w:tcW w:w="2218" w:type="dxa"/>
            <w:tcBorders>
              <w:top w:val="nil"/>
              <w:left w:val="single" w:sz="4" w:space="0" w:color="auto"/>
              <w:bottom w:val="single" w:sz="4" w:space="0" w:color="auto"/>
              <w:right w:val="single" w:sz="4" w:space="0" w:color="auto"/>
            </w:tcBorders>
            <w:vAlign w:val="center"/>
          </w:tcPr>
          <w:p w14:paraId="239E58D9" w14:textId="77777777" w:rsidR="004845EB" w:rsidRDefault="00000000">
            <w:pPr>
              <w:widowControl/>
              <w:spacing w:line="360" w:lineRule="auto"/>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票据承兑余额/存放同业余额</w:t>
            </w:r>
          </w:p>
        </w:tc>
        <w:tc>
          <w:tcPr>
            <w:tcW w:w="1401" w:type="dxa"/>
            <w:tcBorders>
              <w:top w:val="nil"/>
              <w:left w:val="single" w:sz="4" w:space="0" w:color="auto"/>
              <w:bottom w:val="single" w:sz="4" w:space="0" w:color="auto"/>
              <w:right w:val="single" w:sz="4" w:space="0" w:color="auto"/>
            </w:tcBorders>
            <w:vAlign w:val="center"/>
          </w:tcPr>
          <w:p w14:paraId="0CC352A1"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≤300%</w:t>
            </w:r>
          </w:p>
        </w:tc>
        <w:tc>
          <w:tcPr>
            <w:tcW w:w="1470" w:type="dxa"/>
            <w:tcBorders>
              <w:top w:val="nil"/>
              <w:left w:val="single" w:sz="4" w:space="0" w:color="auto"/>
              <w:bottom w:val="single" w:sz="4" w:space="0" w:color="auto"/>
              <w:right w:val="single" w:sz="4" w:space="0" w:color="auto"/>
            </w:tcBorders>
            <w:vAlign w:val="center"/>
          </w:tcPr>
          <w:p w14:paraId="3C459D24"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3.67%</w:t>
            </w:r>
          </w:p>
        </w:tc>
      </w:tr>
      <w:tr w:rsidR="004845EB" w14:paraId="1B853DB8" w14:textId="77777777">
        <w:trPr>
          <w:trHeight w:val="930"/>
          <w:jc w:val="center"/>
        </w:trPr>
        <w:tc>
          <w:tcPr>
            <w:tcW w:w="787" w:type="dxa"/>
            <w:tcBorders>
              <w:top w:val="nil"/>
              <w:left w:val="single" w:sz="4" w:space="0" w:color="auto"/>
              <w:bottom w:val="single" w:sz="4" w:space="0" w:color="auto"/>
              <w:right w:val="single" w:sz="4" w:space="0" w:color="auto"/>
            </w:tcBorders>
            <w:vAlign w:val="center"/>
          </w:tcPr>
          <w:p w14:paraId="7F5F6202"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lastRenderedPageBreak/>
              <w:t>7</w:t>
            </w:r>
          </w:p>
        </w:tc>
        <w:tc>
          <w:tcPr>
            <w:tcW w:w="2002" w:type="dxa"/>
            <w:tcBorders>
              <w:top w:val="nil"/>
              <w:left w:val="single" w:sz="4" w:space="0" w:color="auto"/>
              <w:bottom w:val="single" w:sz="4" w:space="0" w:color="auto"/>
              <w:right w:val="single" w:sz="4" w:space="0" w:color="auto"/>
            </w:tcBorders>
            <w:vAlign w:val="center"/>
          </w:tcPr>
          <w:p w14:paraId="093FD733"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票据承兑和转贴现业务比例</w:t>
            </w:r>
          </w:p>
        </w:tc>
        <w:tc>
          <w:tcPr>
            <w:tcW w:w="2218" w:type="dxa"/>
            <w:tcBorders>
              <w:top w:val="nil"/>
              <w:left w:val="single" w:sz="4" w:space="0" w:color="auto"/>
              <w:bottom w:val="single" w:sz="4" w:space="0" w:color="auto"/>
              <w:right w:val="single" w:sz="4" w:space="0" w:color="auto"/>
            </w:tcBorders>
            <w:vAlign w:val="center"/>
          </w:tcPr>
          <w:p w14:paraId="712F655D" w14:textId="77777777" w:rsidR="004845EB" w:rsidRDefault="00000000">
            <w:pPr>
              <w:widowControl/>
              <w:spacing w:line="360" w:lineRule="auto"/>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（票据承兑余额+转贴现余额）/资本净额</w:t>
            </w:r>
          </w:p>
        </w:tc>
        <w:tc>
          <w:tcPr>
            <w:tcW w:w="1401" w:type="dxa"/>
            <w:tcBorders>
              <w:top w:val="nil"/>
              <w:left w:val="single" w:sz="4" w:space="0" w:color="auto"/>
              <w:bottom w:val="single" w:sz="4" w:space="0" w:color="auto"/>
              <w:right w:val="single" w:sz="4" w:space="0" w:color="auto"/>
            </w:tcBorders>
            <w:vAlign w:val="center"/>
          </w:tcPr>
          <w:p w14:paraId="42509693"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≤100%</w:t>
            </w:r>
          </w:p>
        </w:tc>
        <w:tc>
          <w:tcPr>
            <w:tcW w:w="1470" w:type="dxa"/>
            <w:tcBorders>
              <w:top w:val="nil"/>
              <w:left w:val="single" w:sz="4" w:space="0" w:color="auto"/>
              <w:bottom w:val="single" w:sz="4" w:space="0" w:color="auto"/>
              <w:right w:val="single" w:sz="4" w:space="0" w:color="auto"/>
            </w:tcBorders>
            <w:vAlign w:val="center"/>
          </w:tcPr>
          <w:p w14:paraId="28AD4D8F"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6.63%</w:t>
            </w:r>
          </w:p>
        </w:tc>
      </w:tr>
      <w:tr w:rsidR="004845EB" w14:paraId="79601F87" w14:textId="77777777">
        <w:trPr>
          <w:trHeight w:val="580"/>
          <w:jc w:val="center"/>
        </w:trPr>
        <w:tc>
          <w:tcPr>
            <w:tcW w:w="787" w:type="dxa"/>
            <w:tcBorders>
              <w:top w:val="nil"/>
              <w:left w:val="single" w:sz="4" w:space="0" w:color="auto"/>
              <w:bottom w:val="single" w:sz="4" w:space="0" w:color="auto"/>
              <w:right w:val="single" w:sz="4" w:space="0" w:color="auto"/>
            </w:tcBorders>
            <w:vAlign w:val="center"/>
          </w:tcPr>
          <w:p w14:paraId="619D7C5B"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8</w:t>
            </w:r>
          </w:p>
        </w:tc>
        <w:tc>
          <w:tcPr>
            <w:tcW w:w="2002" w:type="dxa"/>
            <w:tcBorders>
              <w:top w:val="nil"/>
              <w:left w:val="single" w:sz="4" w:space="0" w:color="auto"/>
              <w:bottom w:val="single" w:sz="4" w:space="0" w:color="auto"/>
              <w:right w:val="single" w:sz="4" w:space="0" w:color="auto"/>
            </w:tcBorders>
            <w:vAlign w:val="center"/>
          </w:tcPr>
          <w:p w14:paraId="71B897F5"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承兑汇票保证金比例</w:t>
            </w:r>
          </w:p>
        </w:tc>
        <w:tc>
          <w:tcPr>
            <w:tcW w:w="2218" w:type="dxa"/>
            <w:tcBorders>
              <w:top w:val="nil"/>
              <w:left w:val="single" w:sz="4" w:space="0" w:color="auto"/>
              <w:bottom w:val="single" w:sz="4" w:space="0" w:color="auto"/>
              <w:right w:val="single" w:sz="4" w:space="0" w:color="auto"/>
            </w:tcBorders>
            <w:vAlign w:val="center"/>
          </w:tcPr>
          <w:p w14:paraId="51AA773B" w14:textId="77777777" w:rsidR="004845EB" w:rsidRDefault="00000000">
            <w:pPr>
              <w:widowControl/>
              <w:spacing w:line="360" w:lineRule="auto"/>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承兑汇票保证金余额/存款总额</w:t>
            </w:r>
          </w:p>
        </w:tc>
        <w:tc>
          <w:tcPr>
            <w:tcW w:w="1401" w:type="dxa"/>
            <w:tcBorders>
              <w:top w:val="nil"/>
              <w:left w:val="single" w:sz="4" w:space="0" w:color="auto"/>
              <w:bottom w:val="single" w:sz="4" w:space="0" w:color="auto"/>
              <w:right w:val="single" w:sz="4" w:space="0" w:color="auto"/>
            </w:tcBorders>
            <w:vAlign w:val="center"/>
          </w:tcPr>
          <w:p w14:paraId="13ACFB90"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≤10%</w:t>
            </w:r>
          </w:p>
        </w:tc>
        <w:tc>
          <w:tcPr>
            <w:tcW w:w="1470" w:type="dxa"/>
            <w:tcBorders>
              <w:top w:val="nil"/>
              <w:left w:val="single" w:sz="4" w:space="0" w:color="auto"/>
              <w:bottom w:val="single" w:sz="4" w:space="0" w:color="auto"/>
              <w:right w:val="single" w:sz="4" w:space="0" w:color="auto"/>
            </w:tcBorders>
            <w:vAlign w:val="center"/>
          </w:tcPr>
          <w:p w14:paraId="6E3B70B7"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0</w:t>
            </w:r>
          </w:p>
        </w:tc>
      </w:tr>
      <w:tr w:rsidR="004845EB" w14:paraId="0FD6F5B0" w14:textId="77777777">
        <w:trPr>
          <w:trHeight w:val="500"/>
          <w:jc w:val="center"/>
        </w:trPr>
        <w:tc>
          <w:tcPr>
            <w:tcW w:w="787" w:type="dxa"/>
            <w:tcBorders>
              <w:top w:val="nil"/>
              <w:left w:val="single" w:sz="4" w:space="0" w:color="auto"/>
              <w:bottom w:val="single" w:sz="4" w:space="0" w:color="auto"/>
              <w:right w:val="single" w:sz="4" w:space="0" w:color="auto"/>
            </w:tcBorders>
            <w:vAlign w:val="center"/>
          </w:tcPr>
          <w:p w14:paraId="77A67267"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9</w:t>
            </w:r>
          </w:p>
        </w:tc>
        <w:tc>
          <w:tcPr>
            <w:tcW w:w="2002" w:type="dxa"/>
            <w:tcBorders>
              <w:top w:val="nil"/>
              <w:left w:val="single" w:sz="4" w:space="0" w:color="auto"/>
              <w:bottom w:val="single" w:sz="4" w:space="0" w:color="auto"/>
              <w:right w:val="single" w:sz="4" w:space="0" w:color="auto"/>
            </w:tcBorders>
            <w:vAlign w:val="center"/>
          </w:tcPr>
          <w:p w14:paraId="477FDD11"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投资比例</w:t>
            </w:r>
          </w:p>
        </w:tc>
        <w:tc>
          <w:tcPr>
            <w:tcW w:w="2218" w:type="dxa"/>
            <w:tcBorders>
              <w:top w:val="nil"/>
              <w:left w:val="single" w:sz="4" w:space="0" w:color="auto"/>
              <w:bottom w:val="single" w:sz="4" w:space="0" w:color="auto"/>
              <w:right w:val="single" w:sz="4" w:space="0" w:color="auto"/>
            </w:tcBorders>
            <w:vAlign w:val="center"/>
          </w:tcPr>
          <w:p w14:paraId="0F50B490" w14:textId="77777777" w:rsidR="004845EB" w:rsidRDefault="00000000">
            <w:pPr>
              <w:widowControl/>
              <w:spacing w:line="360" w:lineRule="auto"/>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投资总额/资本净额</w:t>
            </w:r>
          </w:p>
        </w:tc>
        <w:tc>
          <w:tcPr>
            <w:tcW w:w="1401" w:type="dxa"/>
            <w:tcBorders>
              <w:top w:val="nil"/>
              <w:left w:val="single" w:sz="4" w:space="0" w:color="auto"/>
              <w:bottom w:val="single" w:sz="4" w:space="0" w:color="auto"/>
              <w:right w:val="single" w:sz="4" w:space="0" w:color="auto"/>
            </w:tcBorders>
            <w:vAlign w:val="center"/>
          </w:tcPr>
          <w:p w14:paraId="262BB48F"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≤70%</w:t>
            </w:r>
          </w:p>
        </w:tc>
        <w:tc>
          <w:tcPr>
            <w:tcW w:w="1470" w:type="dxa"/>
            <w:tcBorders>
              <w:top w:val="nil"/>
              <w:left w:val="single" w:sz="4" w:space="0" w:color="auto"/>
              <w:bottom w:val="single" w:sz="4" w:space="0" w:color="auto"/>
              <w:right w:val="single" w:sz="4" w:space="0" w:color="auto"/>
            </w:tcBorders>
            <w:vAlign w:val="center"/>
          </w:tcPr>
          <w:p w14:paraId="75BA86EC"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29.46%</w:t>
            </w:r>
          </w:p>
        </w:tc>
      </w:tr>
      <w:tr w:rsidR="004845EB" w14:paraId="2AEFCAA0" w14:textId="77777777">
        <w:trPr>
          <w:trHeight w:val="608"/>
          <w:jc w:val="center"/>
        </w:trPr>
        <w:tc>
          <w:tcPr>
            <w:tcW w:w="787" w:type="dxa"/>
            <w:tcBorders>
              <w:top w:val="nil"/>
              <w:left w:val="single" w:sz="4" w:space="0" w:color="auto"/>
              <w:bottom w:val="single" w:sz="4" w:space="0" w:color="auto"/>
              <w:right w:val="single" w:sz="4" w:space="0" w:color="auto"/>
            </w:tcBorders>
            <w:vAlign w:val="center"/>
          </w:tcPr>
          <w:p w14:paraId="449C0E6B"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10</w:t>
            </w:r>
          </w:p>
        </w:tc>
        <w:tc>
          <w:tcPr>
            <w:tcW w:w="2002" w:type="dxa"/>
            <w:tcBorders>
              <w:top w:val="nil"/>
              <w:left w:val="single" w:sz="4" w:space="0" w:color="auto"/>
              <w:bottom w:val="single" w:sz="4" w:space="0" w:color="auto"/>
              <w:right w:val="single" w:sz="4" w:space="0" w:color="auto"/>
            </w:tcBorders>
            <w:vAlign w:val="center"/>
          </w:tcPr>
          <w:p w14:paraId="31E20287"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自有固定资产比例</w:t>
            </w:r>
          </w:p>
        </w:tc>
        <w:tc>
          <w:tcPr>
            <w:tcW w:w="2218" w:type="dxa"/>
            <w:tcBorders>
              <w:top w:val="nil"/>
              <w:left w:val="single" w:sz="4" w:space="0" w:color="auto"/>
              <w:bottom w:val="single" w:sz="4" w:space="0" w:color="auto"/>
              <w:right w:val="single" w:sz="4" w:space="0" w:color="auto"/>
            </w:tcBorders>
            <w:vAlign w:val="center"/>
          </w:tcPr>
          <w:p w14:paraId="4687BED9" w14:textId="77777777" w:rsidR="004845EB" w:rsidRDefault="00000000">
            <w:pPr>
              <w:widowControl/>
              <w:spacing w:line="360" w:lineRule="auto"/>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固定资产净额/资本净额</w:t>
            </w:r>
          </w:p>
        </w:tc>
        <w:tc>
          <w:tcPr>
            <w:tcW w:w="1401" w:type="dxa"/>
            <w:tcBorders>
              <w:top w:val="nil"/>
              <w:left w:val="single" w:sz="4" w:space="0" w:color="auto"/>
              <w:bottom w:val="single" w:sz="4" w:space="0" w:color="auto"/>
              <w:right w:val="single" w:sz="4" w:space="0" w:color="auto"/>
            </w:tcBorders>
            <w:vAlign w:val="center"/>
          </w:tcPr>
          <w:p w14:paraId="60B16173" w14:textId="77777777" w:rsidR="004845EB" w:rsidRDefault="00000000">
            <w:pPr>
              <w:widowControl/>
              <w:spacing w:line="360" w:lineRule="auto"/>
              <w:jc w:val="left"/>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≤20%</w:t>
            </w:r>
          </w:p>
        </w:tc>
        <w:tc>
          <w:tcPr>
            <w:tcW w:w="1470" w:type="dxa"/>
            <w:tcBorders>
              <w:top w:val="nil"/>
              <w:left w:val="single" w:sz="4" w:space="0" w:color="auto"/>
              <w:bottom w:val="single" w:sz="4" w:space="0" w:color="auto"/>
              <w:right w:val="single" w:sz="4" w:space="0" w:color="auto"/>
            </w:tcBorders>
            <w:vAlign w:val="center"/>
          </w:tcPr>
          <w:p w14:paraId="0FF451B8" w14:textId="77777777" w:rsidR="004845EB" w:rsidRDefault="00000000">
            <w:pPr>
              <w:widowControl/>
              <w:spacing w:line="360" w:lineRule="auto"/>
              <w:jc w:val="center"/>
              <w:rPr>
                <w:rFonts w:ascii="仿宋_GB2312" w:eastAsia="仿宋_GB2312" w:hAnsi="仿宋_GB2312" w:cs="仿宋_GB2312" w:hint="eastAsia"/>
                <w:kern w:val="0"/>
                <w:sz w:val="24"/>
                <w:szCs w:val="24"/>
              </w:rPr>
            </w:pPr>
            <w:r>
              <w:rPr>
                <w:rFonts w:ascii="仿宋_GB2312" w:eastAsia="仿宋_GB2312" w:hAnsi="仿宋_GB2312" w:cs="仿宋_GB2312" w:hint="eastAsia"/>
                <w:kern w:val="0"/>
                <w:sz w:val="24"/>
                <w:szCs w:val="24"/>
              </w:rPr>
              <w:t>0.40%</w:t>
            </w:r>
          </w:p>
        </w:tc>
      </w:tr>
    </w:tbl>
    <w:p w14:paraId="4C3D1A3D" w14:textId="77777777" w:rsidR="004845EB" w:rsidRDefault="00000000">
      <w:pPr>
        <w:spacing w:beforeLines="50" w:before="156" w:afterLines="50" w:after="156" w:line="360" w:lineRule="auto"/>
        <w:ind w:firstLineChars="200" w:firstLine="620"/>
        <w:outlineLvl w:val="0"/>
        <w:rPr>
          <w:rFonts w:ascii="黑体" w:eastAsia="黑体" w:hAnsi="黑体" w:cs="黑体" w:hint="eastAsia"/>
          <w:bCs/>
          <w:spacing w:val="15"/>
          <w:kern w:val="0"/>
          <w:sz w:val="28"/>
          <w:szCs w:val="28"/>
        </w:rPr>
      </w:pPr>
      <w:r>
        <w:rPr>
          <w:rFonts w:ascii="黑体" w:eastAsia="黑体" w:hAnsi="黑体" w:cs="黑体" w:hint="eastAsia"/>
          <w:bCs/>
          <w:spacing w:val="15"/>
          <w:kern w:val="0"/>
          <w:sz w:val="28"/>
          <w:szCs w:val="28"/>
        </w:rPr>
        <w:t>四、本公司在广</w:t>
      </w:r>
      <w:proofErr w:type="gramStart"/>
      <w:r>
        <w:rPr>
          <w:rFonts w:ascii="黑体" w:eastAsia="黑体" w:hAnsi="黑体" w:cs="黑体" w:hint="eastAsia"/>
          <w:bCs/>
          <w:spacing w:val="15"/>
          <w:kern w:val="0"/>
          <w:sz w:val="28"/>
          <w:szCs w:val="28"/>
        </w:rPr>
        <w:t>晟</w:t>
      </w:r>
      <w:proofErr w:type="gramEnd"/>
      <w:r>
        <w:rPr>
          <w:rFonts w:ascii="黑体" w:eastAsia="黑体" w:hAnsi="黑体" w:cs="黑体" w:hint="eastAsia"/>
          <w:bCs/>
          <w:spacing w:val="15"/>
          <w:kern w:val="0"/>
          <w:sz w:val="28"/>
          <w:szCs w:val="28"/>
        </w:rPr>
        <w:t>财务公司的存贷款情况</w:t>
      </w:r>
    </w:p>
    <w:p w14:paraId="5F248640"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截至2025年12月31日，本公司及控股子公司在广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财务公司的存款余额为340,055,400.27元，贷款余额为528,900,000.00元。本公司制订了《关于在广东省广晟财务有限公司开展存款等金融业务的风险应急处置预案》，以保证在广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财务公司的存款资金安全，有效防范、及时控制和化解存款风险。</w:t>
      </w:r>
    </w:p>
    <w:p w14:paraId="173F3B44" w14:textId="77777777" w:rsidR="004845EB" w:rsidRDefault="00000000">
      <w:pPr>
        <w:spacing w:beforeLines="50" w:before="156" w:afterLines="50" w:after="156" w:line="360" w:lineRule="auto"/>
        <w:ind w:firstLineChars="200" w:firstLine="620"/>
        <w:outlineLvl w:val="0"/>
        <w:rPr>
          <w:rFonts w:ascii="黑体" w:eastAsia="黑体" w:hAnsi="黑体" w:cs="黑体" w:hint="eastAsia"/>
          <w:bCs/>
          <w:spacing w:val="15"/>
          <w:kern w:val="0"/>
          <w:sz w:val="28"/>
          <w:szCs w:val="28"/>
        </w:rPr>
      </w:pPr>
      <w:r>
        <w:rPr>
          <w:rFonts w:ascii="黑体" w:eastAsia="黑体" w:hAnsi="黑体" w:cs="黑体" w:hint="eastAsia"/>
          <w:bCs/>
          <w:spacing w:val="15"/>
          <w:kern w:val="0"/>
          <w:sz w:val="28"/>
          <w:szCs w:val="28"/>
        </w:rPr>
        <w:t>五、风险评估意见</w:t>
      </w:r>
    </w:p>
    <w:p w14:paraId="6FD15666" w14:textId="77777777" w:rsidR="004845EB" w:rsidRDefault="00000000">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r>
        <w:rPr>
          <w:rFonts w:ascii="仿宋_GB2312" w:eastAsia="仿宋_GB2312" w:hAnsi="仿宋_GB2312" w:cs="仿宋_GB2312" w:hint="eastAsia"/>
          <w:spacing w:val="14"/>
          <w:kern w:val="0"/>
          <w:sz w:val="28"/>
          <w:szCs w:val="28"/>
        </w:rPr>
        <w:t>基于以上分析和判断，本公司认为：广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取得了合法有效的资质，建立了相应的法人治理结构和内部控制制度，建立与经营相适应的组织架构，雇用了符合要求并具备相应能力的各类专业人员，采取相应的风险管控措施，符合《企业集团财务公司管理办法》（2022年修订）的规定。广</w:t>
      </w:r>
      <w:proofErr w:type="gramStart"/>
      <w:r>
        <w:rPr>
          <w:rFonts w:ascii="仿宋_GB2312" w:eastAsia="仿宋_GB2312" w:hAnsi="仿宋_GB2312" w:cs="仿宋_GB2312" w:hint="eastAsia"/>
          <w:spacing w:val="14"/>
          <w:kern w:val="0"/>
          <w:sz w:val="28"/>
          <w:szCs w:val="28"/>
        </w:rPr>
        <w:t>晟</w:t>
      </w:r>
      <w:proofErr w:type="gramEnd"/>
      <w:r>
        <w:rPr>
          <w:rFonts w:ascii="仿宋_GB2312" w:eastAsia="仿宋_GB2312" w:hAnsi="仿宋_GB2312" w:cs="仿宋_GB2312" w:hint="eastAsia"/>
          <w:spacing w:val="14"/>
          <w:kern w:val="0"/>
          <w:sz w:val="28"/>
          <w:szCs w:val="28"/>
        </w:rPr>
        <w:t>财务公司</w:t>
      </w:r>
      <w:r>
        <w:rPr>
          <w:rFonts w:ascii="仿宋_GB2312" w:eastAsia="仿宋_GB2312" w:hAnsi="仿宋_GB2312" w:cs="仿宋_GB2312" w:hint="eastAsia"/>
          <w:spacing w:val="14"/>
          <w:kern w:val="0"/>
          <w:sz w:val="28"/>
          <w:szCs w:val="28"/>
        </w:rPr>
        <w:lastRenderedPageBreak/>
        <w:t>运营正常，资金较为充裕，内控健全，资产质量良好，资本充足率较高，拨备充足，与其开展金融服务业务的风险可控。</w:t>
      </w:r>
    </w:p>
    <w:p w14:paraId="4CEC77D2" w14:textId="77777777" w:rsidR="004845EB" w:rsidRDefault="004845EB">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p>
    <w:p w14:paraId="26BD9B5E" w14:textId="77777777" w:rsidR="004845EB" w:rsidRDefault="004845EB">
      <w:pPr>
        <w:spacing w:beforeLines="50" w:before="156" w:afterLines="50" w:after="156" w:line="360" w:lineRule="auto"/>
        <w:ind w:firstLineChars="200" w:firstLine="616"/>
        <w:rPr>
          <w:rFonts w:ascii="仿宋_GB2312" w:eastAsia="仿宋_GB2312" w:hAnsi="仿宋_GB2312" w:cs="仿宋_GB2312" w:hint="eastAsia"/>
          <w:spacing w:val="14"/>
          <w:kern w:val="0"/>
          <w:sz w:val="28"/>
          <w:szCs w:val="28"/>
        </w:rPr>
      </w:pPr>
    </w:p>
    <w:p w14:paraId="52FE2416" w14:textId="77777777" w:rsidR="004845EB" w:rsidRDefault="00000000">
      <w:pPr>
        <w:pStyle w:val="Default"/>
        <w:spacing w:beforeLines="50" w:before="156" w:afterLines="50" w:after="156" w:line="360" w:lineRule="auto"/>
        <w:ind w:firstLineChars="1300" w:firstLine="4004"/>
        <w:jc w:val="right"/>
        <w:rPr>
          <w:rFonts w:ascii="仿宋_GB2312" w:eastAsia="仿宋_GB2312" w:hAnsi="仿宋_GB2312" w:cs="仿宋_GB2312" w:hint="eastAsia"/>
          <w:color w:val="auto"/>
          <w:spacing w:val="14"/>
          <w:sz w:val="28"/>
          <w:szCs w:val="28"/>
        </w:rPr>
      </w:pPr>
      <w:r>
        <w:rPr>
          <w:rFonts w:ascii="仿宋_GB2312" w:eastAsia="仿宋_GB2312" w:hAnsi="仿宋_GB2312" w:cs="仿宋_GB2312" w:hint="eastAsia"/>
          <w:color w:val="auto"/>
          <w:spacing w:val="14"/>
          <w:sz w:val="28"/>
          <w:szCs w:val="28"/>
        </w:rPr>
        <w:t>东江环保股份有限公司</w:t>
      </w:r>
    </w:p>
    <w:p w14:paraId="7ABB5002" w14:textId="77777777" w:rsidR="004845EB" w:rsidRDefault="00000000">
      <w:pPr>
        <w:pStyle w:val="Default"/>
        <w:spacing w:beforeLines="50" w:before="156" w:afterLines="50" w:after="156" w:line="360" w:lineRule="auto"/>
        <w:ind w:firstLineChars="1300" w:firstLine="4004"/>
        <w:jc w:val="right"/>
        <w:rPr>
          <w:rFonts w:ascii="仿宋_GB2312" w:eastAsia="仿宋_GB2312" w:hAnsi="仿宋_GB2312" w:cs="仿宋_GB2312" w:hint="eastAsia"/>
          <w:spacing w:val="14"/>
          <w:sz w:val="28"/>
          <w:szCs w:val="28"/>
        </w:rPr>
      </w:pPr>
      <w:r>
        <w:rPr>
          <w:rFonts w:ascii="仿宋_GB2312" w:eastAsia="仿宋_GB2312" w:hAnsi="仿宋_GB2312" w:cs="仿宋_GB2312" w:hint="eastAsia"/>
          <w:color w:val="auto"/>
          <w:spacing w:val="14"/>
          <w:sz w:val="28"/>
          <w:szCs w:val="28"/>
        </w:rPr>
        <w:t>2026年3月27日</w:t>
      </w:r>
    </w:p>
    <w:sectPr w:rsidR="004845EB">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9F1BC" w14:textId="77777777" w:rsidR="00CE1CFC" w:rsidRDefault="00CE1CFC">
      <w:r>
        <w:separator/>
      </w:r>
    </w:p>
  </w:endnote>
  <w:endnote w:type="continuationSeparator" w:id="0">
    <w:p w14:paraId="41469046" w14:textId="77777777" w:rsidR="00CE1CFC" w:rsidRDefault="00CE1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公文小标宋">
    <w:altName w:val="微软雅黑"/>
    <w:charset w:val="86"/>
    <w:family w:val="auto"/>
    <w:pitch w:val="default"/>
    <w:sig w:usb0="00000000" w:usb1="0000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ECC71102-EF18-4339-BD14-366899E40668}"/>
  </w:font>
  <w:font w:name="仿宋_GB2312">
    <w:altName w:val="微软雅黑"/>
    <w:panose1 w:val="02010609030101010101"/>
    <w:charset w:val="86"/>
    <w:family w:val="modern"/>
    <w:pitch w:val="fixed"/>
    <w:sig w:usb0="00000001" w:usb1="080E0000" w:usb2="00000010" w:usb3="00000000" w:csb0="00040000" w:csb1="00000000"/>
    <w:embedRegular r:id="rId2" w:subsetted="1" w:fontKey="{3E70F16E-0B6A-4285-A66A-356F602E934F}"/>
  </w:font>
  <w:font w:name="楷体_GB2312">
    <w:altName w:val="楷体"/>
    <w:panose1 w:val="02010609030101010101"/>
    <w:charset w:val="86"/>
    <w:family w:val="modern"/>
    <w:pitch w:val="fixed"/>
    <w:sig w:usb0="00000001" w:usb1="080E0000" w:usb2="00000010" w:usb3="00000000" w:csb0="00040000" w:csb1="00000000"/>
    <w:embedRegular r:id="rId3" w:subsetted="1" w:fontKey="{415FC202-4617-4981-AC52-B5BF7DE18D35}"/>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7DE30" w14:textId="77777777" w:rsidR="004845EB" w:rsidRDefault="00000000">
    <w:pPr>
      <w:pStyle w:val="a7"/>
      <w:jc w:val="right"/>
    </w:pPr>
    <w:r>
      <w:rPr>
        <w:noProof/>
      </w:rPr>
      <mc:AlternateContent>
        <mc:Choice Requires="wps">
          <w:drawing>
            <wp:anchor distT="0" distB="0" distL="114300" distR="114300" simplePos="0" relativeHeight="251659264" behindDoc="0" locked="0" layoutInCell="1" allowOverlap="1" wp14:anchorId="26FD721E" wp14:editId="640FB7A5">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053179" w14:textId="77777777" w:rsidR="004845EB" w:rsidRDefault="00000000">
                          <w:pPr>
                            <w:pStyle w:val="a7"/>
                            <w:rPr>
                              <w:rFonts w:ascii="楷体_GB2312" w:eastAsia="楷体_GB2312" w:hAnsi="楷体_GB2312" w:cs="楷体_GB2312" w:hint="eastAsia"/>
                              <w:sz w:val="28"/>
                              <w:szCs w:val="28"/>
                            </w:rPr>
                          </w:pPr>
                          <w:r>
                            <w:rPr>
                              <w:rFonts w:ascii="楷体_GB2312" w:eastAsia="楷体_GB2312" w:hAnsi="楷体_GB2312" w:cs="楷体_GB2312" w:hint="eastAsia"/>
                            </w:rPr>
                            <w:fldChar w:fldCharType="begin"/>
                          </w:r>
                          <w:r>
                            <w:rPr>
                              <w:rFonts w:ascii="楷体_GB2312" w:eastAsia="楷体_GB2312" w:hAnsi="楷体_GB2312" w:cs="楷体_GB2312" w:hint="eastAsia"/>
                            </w:rPr>
                            <w:instrText xml:space="preserve"> PAGE  \* MERGEFORMAT </w:instrText>
                          </w:r>
                          <w:r>
                            <w:rPr>
                              <w:rFonts w:ascii="楷体_GB2312" w:eastAsia="楷体_GB2312" w:hAnsi="楷体_GB2312" w:cs="楷体_GB2312" w:hint="eastAsia"/>
                            </w:rPr>
                            <w:fldChar w:fldCharType="separate"/>
                          </w:r>
                          <w:r>
                            <w:rPr>
                              <w:rFonts w:ascii="楷体_GB2312" w:eastAsia="楷体_GB2312" w:hAnsi="楷体_GB2312" w:cs="楷体_GB2312" w:hint="eastAsia"/>
                            </w:rPr>
                            <w:t>1</w:t>
                          </w:r>
                          <w:r>
                            <w:rPr>
                              <w:rFonts w:ascii="楷体_GB2312" w:eastAsia="楷体_GB2312" w:hAnsi="楷体_GB2312" w:cs="楷体_GB2312"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1106317">
                    <w:pPr>
                      <w:pStyle w:val="4"/>
                      <w:rPr>
                        <w:rFonts w:hint="eastAsia" w:ascii="楷体_GB2312" w:hAnsi="楷体_GB2312" w:eastAsia="楷体_GB2312" w:cs="楷体_GB2312"/>
                        <w:sz w:val="28"/>
                        <w:szCs w:val="28"/>
                      </w:rPr>
                    </w:pPr>
                    <w:r>
                      <w:rPr>
                        <w:rFonts w:hint="eastAsia" w:ascii="楷体_GB2312" w:hAnsi="楷体_GB2312" w:eastAsia="楷体_GB2312" w:cs="楷体_GB2312"/>
                      </w:rPr>
                      <w:fldChar w:fldCharType="begin"/>
                    </w:r>
                    <w:r>
                      <w:rPr>
                        <w:rFonts w:hint="eastAsia" w:ascii="楷体_GB2312" w:hAnsi="楷体_GB2312" w:eastAsia="楷体_GB2312" w:cs="楷体_GB2312"/>
                      </w:rPr>
                      <w:instrText xml:space="preserve"> PAGE  \* MERGEFORMAT </w:instrText>
                    </w:r>
                    <w:r>
                      <w:rPr>
                        <w:rFonts w:hint="eastAsia" w:ascii="楷体_GB2312" w:hAnsi="楷体_GB2312" w:eastAsia="楷体_GB2312" w:cs="楷体_GB2312"/>
                      </w:rPr>
                      <w:fldChar w:fldCharType="separate"/>
                    </w:r>
                    <w:r>
                      <w:rPr>
                        <w:rFonts w:hint="eastAsia" w:ascii="楷体_GB2312" w:hAnsi="楷体_GB2312" w:eastAsia="楷体_GB2312" w:cs="楷体_GB2312"/>
                      </w:rPr>
                      <w:t>1</w:t>
                    </w:r>
                    <w:r>
                      <w:rPr>
                        <w:rFonts w:hint="eastAsia" w:ascii="楷体_GB2312" w:hAnsi="楷体_GB2312" w:eastAsia="楷体_GB2312" w:cs="楷体_GB2312"/>
                      </w:rPr>
                      <w:fldChar w:fldCharType="end"/>
                    </w:r>
                  </w:p>
                </w:txbxContent>
              </v:textbox>
            </v:shape>
          </w:pict>
        </mc:Fallback>
      </mc:AlternateContent>
    </w:r>
  </w:p>
  <w:p w14:paraId="1743BA32" w14:textId="77777777" w:rsidR="004845EB" w:rsidRDefault="004845E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07AE6" w14:textId="77777777" w:rsidR="00CE1CFC" w:rsidRDefault="00CE1CFC">
      <w:r>
        <w:separator/>
      </w:r>
    </w:p>
  </w:footnote>
  <w:footnote w:type="continuationSeparator" w:id="0">
    <w:p w14:paraId="731F960A" w14:textId="77777777" w:rsidR="00CE1CFC" w:rsidRDefault="00CE1C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g5ZjY5OWVjNWUzYTE4NzU0MGFjMjEyNGU3NjgyOGQifQ=="/>
  </w:docVars>
  <w:rsids>
    <w:rsidRoot w:val="00264A69"/>
    <w:rsid w:val="00003F11"/>
    <w:rsid w:val="0000474F"/>
    <w:rsid w:val="00004F6F"/>
    <w:rsid w:val="0000700E"/>
    <w:rsid w:val="00011B6A"/>
    <w:rsid w:val="00033A40"/>
    <w:rsid w:val="00042438"/>
    <w:rsid w:val="000538E4"/>
    <w:rsid w:val="00053B12"/>
    <w:rsid w:val="00060DCA"/>
    <w:rsid w:val="000621EA"/>
    <w:rsid w:val="00063F5A"/>
    <w:rsid w:val="000653DF"/>
    <w:rsid w:val="000718E9"/>
    <w:rsid w:val="00084152"/>
    <w:rsid w:val="00085657"/>
    <w:rsid w:val="0008686B"/>
    <w:rsid w:val="000873CF"/>
    <w:rsid w:val="00090770"/>
    <w:rsid w:val="00090ED8"/>
    <w:rsid w:val="00092DA0"/>
    <w:rsid w:val="00097A82"/>
    <w:rsid w:val="000A43F5"/>
    <w:rsid w:val="000B07E3"/>
    <w:rsid w:val="000B147A"/>
    <w:rsid w:val="000B1CA0"/>
    <w:rsid w:val="000B1FDF"/>
    <w:rsid w:val="000D04EE"/>
    <w:rsid w:val="000D37F6"/>
    <w:rsid w:val="000D4F29"/>
    <w:rsid w:val="000E6EB7"/>
    <w:rsid w:val="000F6081"/>
    <w:rsid w:val="00102A6A"/>
    <w:rsid w:val="001140C5"/>
    <w:rsid w:val="00120821"/>
    <w:rsid w:val="001276C5"/>
    <w:rsid w:val="001345B6"/>
    <w:rsid w:val="00154278"/>
    <w:rsid w:val="001637EF"/>
    <w:rsid w:val="00165C3A"/>
    <w:rsid w:val="00173C3C"/>
    <w:rsid w:val="00175142"/>
    <w:rsid w:val="00177366"/>
    <w:rsid w:val="001940A1"/>
    <w:rsid w:val="001950C2"/>
    <w:rsid w:val="001A13A8"/>
    <w:rsid w:val="001A5EC6"/>
    <w:rsid w:val="001B099D"/>
    <w:rsid w:val="001B0A4B"/>
    <w:rsid w:val="001B1E40"/>
    <w:rsid w:val="001B1E6C"/>
    <w:rsid w:val="001B350D"/>
    <w:rsid w:val="001B4054"/>
    <w:rsid w:val="001B6F67"/>
    <w:rsid w:val="001D2E56"/>
    <w:rsid w:val="001D459F"/>
    <w:rsid w:val="001E1B72"/>
    <w:rsid w:val="001E2900"/>
    <w:rsid w:val="001E408A"/>
    <w:rsid w:val="001E4A4B"/>
    <w:rsid w:val="00200FB8"/>
    <w:rsid w:val="00212D61"/>
    <w:rsid w:val="0021563A"/>
    <w:rsid w:val="0021741B"/>
    <w:rsid w:val="002274D3"/>
    <w:rsid w:val="00231827"/>
    <w:rsid w:val="00250999"/>
    <w:rsid w:val="00256161"/>
    <w:rsid w:val="002601C3"/>
    <w:rsid w:val="00264918"/>
    <w:rsid w:val="00264A69"/>
    <w:rsid w:val="002658B3"/>
    <w:rsid w:val="00266600"/>
    <w:rsid w:val="00275297"/>
    <w:rsid w:val="002865EF"/>
    <w:rsid w:val="00287788"/>
    <w:rsid w:val="00292342"/>
    <w:rsid w:val="00294DB0"/>
    <w:rsid w:val="00297EB0"/>
    <w:rsid w:val="002A0AE0"/>
    <w:rsid w:val="002A0F70"/>
    <w:rsid w:val="002C35BE"/>
    <w:rsid w:val="002C51A1"/>
    <w:rsid w:val="002C5B7B"/>
    <w:rsid w:val="002D7260"/>
    <w:rsid w:val="002E79BD"/>
    <w:rsid w:val="002F4822"/>
    <w:rsid w:val="002F557A"/>
    <w:rsid w:val="002F76F5"/>
    <w:rsid w:val="00302C5F"/>
    <w:rsid w:val="003201ED"/>
    <w:rsid w:val="0032031D"/>
    <w:rsid w:val="00320FFB"/>
    <w:rsid w:val="0032302A"/>
    <w:rsid w:val="00324EF2"/>
    <w:rsid w:val="00325174"/>
    <w:rsid w:val="00326A5E"/>
    <w:rsid w:val="003308CD"/>
    <w:rsid w:val="003368C2"/>
    <w:rsid w:val="00341E16"/>
    <w:rsid w:val="0034646B"/>
    <w:rsid w:val="0035176C"/>
    <w:rsid w:val="0035530C"/>
    <w:rsid w:val="0036422F"/>
    <w:rsid w:val="00371FE0"/>
    <w:rsid w:val="00375E81"/>
    <w:rsid w:val="00376FB7"/>
    <w:rsid w:val="003855C2"/>
    <w:rsid w:val="00392B79"/>
    <w:rsid w:val="00395AB4"/>
    <w:rsid w:val="003A2B87"/>
    <w:rsid w:val="003A3089"/>
    <w:rsid w:val="003A421C"/>
    <w:rsid w:val="003A58BD"/>
    <w:rsid w:val="003B52B8"/>
    <w:rsid w:val="003B6C93"/>
    <w:rsid w:val="003C466C"/>
    <w:rsid w:val="003C581A"/>
    <w:rsid w:val="003D2CC7"/>
    <w:rsid w:val="003E78B2"/>
    <w:rsid w:val="003F4B5A"/>
    <w:rsid w:val="003F7A2B"/>
    <w:rsid w:val="00400BDB"/>
    <w:rsid w:val="00410524"/>
    <w:rsid w:val="0042048F"/>
    <w:rsid w:val="00421606"/>
    <w:rsid w:val="00423BDD"/>
    <w:rsid w:val="0043225F"/>
    <w:rsid w:val="004461AF"/>
    <w:rsid w:val="00447C68"/>
    <w:rsid w:val="00451278"/>
    <w:rsid w:val="00453091"/>
    <w:rsid w:val="0045513E"/>
    <w:rsid w:val="00457AA7"/>
    <w:rsid w:val="00464367"/>
    <w:rsid w:val="004724ED"/>
    <w:rsid w:val="004845EB"/>
    <w:rsid w:val="004866D2"/>
    <w:rsid w:val="004A1864"/>
    <w:rsid w:val="004A3072"/>
    <w:rsid w:val="004A374C"/>
    <w:rsid w:val="004A4236"/>
    <w:rsid w:val="004A60F4"/>
    <w:rsid w:val="004B03C6"/>
    <w:rsid w:val="004B5A59"/>
    <w:rsid w:val="004B6DF8"/>
    <w:rsid w:val="004D03F3"/>
    <w:rsid w:val="004D6E30"/>
    <w:rsid w:val="004D7E41"/>
    <w:rsid w:val="004E00B1"/>
    <w:rsid w:val="004E4D09"/>
    <w:rsid w:val="004E761D"/>
    <w:rsid w:val="004F429B"/>
    <w:rsid w:val="005055CA"/>
    <w:rsid w:val="00505E46"/>
    <w:rsid w:val="00507F78"/>
    <w:rsid w:val="00524B59"/>
    <w:rsid w:val="0052500F"/>
    <w:rsid w:val="00525CB5"/>
    <w:rsid w:val="00526980"/>
    <w:rsid w:val="00530F4D"/>
    <w:rsid w:val="005337F7"/>
    <w:rsid w:val="00534345"/>
    <w:rsid w:val="00536047"/>
    <w:rsid w:val="0053649C"/>
    <w:rsid w:val="005379DB"/>
    <w:rsid w:val="00543F00"/>
    <w:rsid w:val="005477C6"/>
    <w:rsid w:val="00557D24"/>
    <w:rsid w:val="00562B5B"/>
    <w:rsid w:val="00585F92"/>
    <w:rsid w:val="00593F6C"/>
    <w:rsid w:val="00593F7E"/>
    <w:rsid w:val="00594351"/>
    <w:rsid w:val="00594D26"/>
    <w:rsid w:val="00597488"/>
    <w:rsid w:val="005A4BC0"/>
    <w:rsid w:val="005B4831"/>
    <w:rsid w:val="005C2C44"/>
    <w:rsid w:val="005C2FBF"/>
    <w:rsid w:val="005C5E8B"/>
    <w:rsid w:val="005D474E"/>
    <w:rsid w:val="005D71D9"/>
    <w:rsid w:val="005E2513"/>
    <w:rsid w:val="005E2906"/>
    <w:rsid w:val="005E2BF5"/>
    <w:rsid w:val="005E3BDB"/>
    <w:rsid w:val="005E5252"/>
    <w:rsid w:val="005E72DF"/>
    <w:rsid w:val="00600142"/>
    <w:rsid w:val="00607630"/>
    <w:rsid w:val="0062163C"/>
    <w:rsid w:val="00635288"/>
    <w:rsid w:val="006410F9"/>
    <w:rsid w:val="006419C8"/>
    <w:rsid w:val="00642859"/>
    <w:rsid w:val="0064322B"/>
    <w:rsid w:val="00644369"/>
    <w:rsid w:val="00645749"/>
    <w:rsid w:val="00653D98"/>
    <w:rsid w:val="0066577E"/>
    <w:rsid w:val="006668D7"/>
    <w:rsid w:val="0067014D"/>
    <w:rsid w:val="00670B2D"/>
    <w:rsid w:val="00694323"/>
    <w:rsid w:val="006965E7"/>
    <w:rsid w:val="006A336C"/>
    <w:rsid w:val="006A589F"/>
    <w:rsid w:val="006A6680"/>
    <w:rsid w:val="006B0A5F"/>
    <w:rsid w:val="006B1037"/>
    <w:rsid w:val="006B2F89"/>
    <w:rsid w:val="006B684C"/>
    <w:rsid w:val="006C377A"/>
    <w:rsid w:val="006D2ED1"/>
    <w:rsid w:val="006D35EA"/>
    <w:rsid w:val="006D4202"/>
    <w:rsid w:val="006D5519"/>
    <w:rsid w:val="006E2BEB"/>
    <w:rsid w:val="00703CC7"/>
    <w:rsid w:val="00707C46"/>
    <w:rsid w:val="00711EF9"/>
    <w:rsid w:val="00712DF4"/>
    <w:rsid w:val="00714C8D"/>
    <w:rsid w:val="007169DB"/>
    <w:rsid w:val="00720D0A"/>
    <w:rsid w:val="007301B5"/>
    <w:rsid w:val="0073365C"/>
    <w:rsid w:val="00733FEC"/>
    <w:rsid w:val="00736BC2"/>
    <w:rsid w:val="00737D66"/>
    <w:rsid w:val="00743238"/>
    <w:rsid w:val="00747848"/>
    <w:rsid w:val="007501B2"/>
    <w:rsid w:val="00751DF3"/>
    <w:rsid w:val="00755A66"/>
    <w:rsid w:val="00755EB2"/>
    <w:rsid w:val="0075681D"/>
    <w:rsid w:val="007615D9"/>
    <w:rsid w:val="00770F27"/>
    <w:rsid w:val="00784055"/>
    <w:rsid w:val="00794E3A"/>
    <w:rsid w:val="00795C99"/>
    <w:rsid w:val="007A3406"/>
    <w:rsid w:val="007A751B"/>
    <w:rsid w:val="007B10EA"/>
    <w:rsid w:val="007B278A"/>
    <w:rsid w:val="007C530D"/>
    <w:rsid w:val="007D0435"/>
    <w:rsid w:val="007D2341"/>
    <w:rsid w:val="007D48F8"/>
    <w:rsid w:val="007F0AD2"/>
    <w:rsid w:val="00806226"/>
    <w:rsid w:val="00825767"/>
    <w:rsid w:val="00832E87"/>
    <w:rsid w:val="008459B9"/>
    <w:rsid w:val="008465F0"/>
    <w:rsid w:val="00861090"/>
    <w:rsid w:val="00867FDB"/>
    <w:rsid w:val="00871046"/>
    <w:rsid w:val="00882E5D"/>
    <w:rsid w:val="00883E74"/>
    <w:rsid w:val="00884BAD"/>
    <w:rsid w:val="008853B4"/>
    <w:rsid w:val="00894FE5"/>
    <w:rsid w:val="00895E22"/>
    <w:rsid w:val="008A3EB6"/>
    <w:rsid w:val="008A4E75"/>
    <w:rsid w:val="008B1449"/>
    <w:rsid w:val="008B22E7"/>
    <w:rsid w:val="008B7F13"/>
    <w:rsid w:val="008B7F47"/>
    <w:rsid w:val="008C17BE"/>
    <w:rsid w:val="008C3C70"/>
    <w:rsid w:val="008C6603"/>
    <w:rsid w:val="008E3AB8"/>
    <w:rsid w:val="008E3DD4"/>
    <w:rsid w:val="008E5DC7"/>
    <w:rsid w:val="008E656D"/>
    <w:rsid w:val="008E7C5E"/>
    <w:rsid w:val="009034B6"/>
    <w:rsid w:val="00912F5E"/>
    <w:rsid w:val="00914082"/>
    <w:rsid w:val="00920E70"/>
    <w:rsid w:val="009225EB"/>
    <w:rsid w:val="00922A25"/>
    <w:rsid w:val="0093031E"/>
    <w:rsid w:val="00940418"/>
    <w:rsid w:val="00943B3D"/>
    <w:rsid w:val="00944B64"/>
    <w:rsid w:val="00946FAF"/>
    <w:rsid w:val="009505A7"/>
    <w:rsid w:val="009546DC"/>
    <w:rsid w:val="00955A2C"/>
    <w:rsid w:val="00963C66"/>
    <w:rsid w:val="00966971"/>
    <w:rsid w:val="009679BF"/>
    <w:rsid w:val="00971814"/>
    <w:rsid w:val="00973178"/>
    <w:rsid w:val="00975181"/>
    <w:rsid w:val="009765CD"/>
    <w:rsid w:val="00977918"/>
    <w:rsid w:val="00984EE3"/>
    <w:rsid w:val="00987913"/>
    <w:rsid w:val="009A6621"/>
    <w:rsid w:val="009B0AA9"/>
    <w:rsid w:val="009C0E0E"/>
    <w:rsid w:val="009C37FC"/>
    <w:rsid w:val="009C7136"/>
    <w:rsid w:val="009C7FD1"/>
    <w:rsid w:val="009D0769"/>
    <w:rsid w:val="009D35A6"/>
    <w:rsid w:val="009D53E6"/>
    <w:rsid w:val="009D76F4"/>
    <w:rsid w:val="009E6219"/>
    <w:rsid w:val="009F0D4E"/>
    <w:rsid w:val="009F2B0C"/>
    <w:rsid w:val="00A054C9"/>
    <w:rsid w:val="00A06611"/>
    <w:rsid w:val="00A16C5F"/>
    <w:rsid w:val="00A173CC"/>
    <w:rsid w:val="00A2043A"/>
    <w:rsid w:val="00A2454B"/>
    <w:rsid w:val="00A34702"/>
    <w:rsid w:val="00A50617"/>
    <w:rsid w:val="00A529D5"/>
    <w:rsid w:val="00A56797"/>
    <w:rsid w:val="00A57AF2"/>
    <w:rsid w:val="00A662FD"/>
    <w:rsid w:val="00A70FCB"/>
    <w:rsid w:val="00A93826"/>
    <w:rsid w:val="00A950D7"/>
    <w:rsid w:val="00AA4DF8"/>
    <w:rsid w:val="00AB258D"/>
    <w:rsid w:val="00AB6FB6"/>
    <w:rsid w:val="00AD1898"/>
    <w:rsid w:val="00AD4716"/>
    <w:rsid w:val="00AD4D56"/>
    <w:rsid w:val="00AE7B2C"/>
    <w:rsid w:val="00AF5280"/>
    <w:rsid w:val="00AF6669"/>
    <w:rsid w:val="00B039A0"/>
    <w:rsid w:val="00B04994"/>
    <w:rsid w:val="00B11964"/>
    <w:rsid w:val="00B1317F"/>
    <w:rsid w:val="00B142C3"/>
    <w:rsid w:val="00B143ED"/>
    <w:rsid w:val="00B238FA"/>
    <w:rsid w:val="00B27648"/>
    <w:rsid w:val="00B30214"/>
    <w:rsid w:val="00B31515"/>
    <w:rsid w:val="00B40110"/>
    <w:rsid w:val="00B47644"/>
    <w:rsid w:val="00B47E03"/>
    <w:rsid w:val="00B50E1B"/>
    <w:rsid w:val="00B55D98"/>
    <w:rsid w:val="00B56253"/>
    <w:rsid w:val="00B615B8"/>
    <w:rsid w:val="00B6466C"/>
    <w:rsid w:val="00B70EC4"/>
    <w:rsid w:val="00B74982"/>
    <w:rsid w:val="00B803A9"/>
    <w:rsid w:val="00B90CAD"/>
    <w:rsid w:val="00B917A1"/>
    <w:rsid w:val="00BA1A56"/>
    <w:rsid w:val="00BA2BA3"/>
    <w:rsid w:val="00BA49D9"/>
    <w:rsid w:val="00BA6B8D"/>
    <w:rsid w:val="00BB6961"/>
    <w:rsid w:val="00BC2A61"/>
    <w:rsid w:val="00BD033C"/>
    <w:rsid w:val="00BD5B1A"/>
    <w:rsid w:val="00BE3127"/>
    <w:rsid w:val="00BE5508"/>
    <w:rsid w:val="00BF33D2"/>
    <w:rsid w:val="00BF432B"/>
    <w:rsid w:val="00BF7A73"/>
    <w:rsid w:val="00C0173C"/>
    <w:rsid w:val="00C01C51"/>
    <w:rsid w:val="00C05A24"/>
    <w:rsid w:val="00C15C66"/>
    <w:rsid w:val="00C21D19"/>
    <w:rsid w:val="00C2399B"/>
    <w:rsid w:val="00C259C2"/>
    <w:rsid w:val="00C27950"/>
    <w:rsid w:val="00C363FC"/>
    <w:rsid w:val="00C44D6C"/>
    <w:rsid w:val="00C46E12"/>
    <w:rsid w:val="00C56A80"/>
    <w:rsid w:val="00C5762A"/>
    <w:rsid w:val="00C60837"/>
    <w:rsid w:val="00C62D45"/>
    <w:rsid w:val="00C63783"/>
    <w:rsid w:val="00C67BD4"/>
    <w:rsid w:val="00C73920"/>
    <w:rsid w:val="00C756BF"/>
    <w:rsid w:val="00C77FF6"/>
    <w:rsid w:val="00C87FF8"/>
    <w:rsid w:val="00C91A33"/>
    <w:rsid w:val="00CA2950"/>
    <w:rsid w:val="00CA38FE"/>
    <w:rsid w:val="00CC1467"/>
    <w:rsid w:val="00CC39D8"/>
    <w:rsid w:val="00CC4C99"/>
    <w:rsid w:val="00CC7902"/>
    <w:rsid w:val="00CD6E49"/>
    <w:rsid w:val="00CE06EC"/>
    <w:rsid w:val="00CE1CFC"/>
    <w:rsid w:val="00CE2F68"/>
    <w:rsid w:val="00CE5CE9"/>
    <w:rsid w:val="00CE6428"/>
    <w:rsid w:val="00CF76DE"/>
    <w:rsid w:val="00D016F8"/>
    <w:rsid w:val="00D073E1"/>
    <w:rsid w:val="00D23CBA"/>
    <w:rsid w:val="00D24F95"/>
    <w:rsid w:val="00D31E20"/>
    <w:rsid w:val="00D320D4"/>
    <w:rsid w:val="00D32572"/>
    <w:rsid w:val="00D41874"/>
    <w:rsid w:val="00D45664"/>
    <w:rsid w:val="00D57B0C"/>
    <w:rsid w:val="00D65651"/>
    <w:rsid w:val="00D67A1E"/>
    <w:rsid w:val="00D73401"/>
    <w:rsid w:val="00D93077"/>
    <w:rsid w:val="00D9616C"/>
    <w:rsid w:val="00DB5873"/>
    <w:rsid w:val="00DB7BCC"/>
    <w:rsid w:val="00DC0A89"/>
    <w:rsid w:val="00DC2548"/>
    <w:rsid w:val="00DC2DC8"/>
    <w:rsid w:val="00DD5B6C"/>
    <w:rsid w:val="00DE2CC7"/>
    <w:rsid w:val="00E07461"/>
    <w:rsid w:val="00E3380C"/>
    <w:rsid w:val="00E4644E"/>
    <w:rsid w:val="00E51326"/>
    <w:rsid w:val="00E60ABA"/>
    <w:rsid w:val="00E7154D"/>
    <w:rsid w:val="00E72D54"/>
    <w:rsid w:val="00E74818"/>
    <w:rsid w:val="00E767FC"/>
    <w:rsid w:val="00E95A5C"/>
    <w:rsid w:val="00E97256"/>
    <w:rsid w:val="00EA5E6E"/>
    <w:rsid w:val="00EB6FDB"/>
    <w:rsid w:val="00EB72D9"/>
    <w:rsid w:val="00EC16EB"/>
    <w:rsid w:val="00EC4DE6"/>
    <w:rsid w:val="00ED5B40"/>
    <w:rsid w:val="00ED676E"/>
    <w:rsid w:val="00EE0B0A"/>
    <w:rsid w:val="00EE59EB"/>
    <w:rsid w:val="00EE6CBD"/>
    <w:rsid w:val="00EF0F6C"/>
    <w:rsid w:val="00EF2ABC"/>
    <w:rsid w:val="00F00D1E"/>
    <w:rsid w:val="00F01F49"/>
    <w:rsid w:val="00F07774"/>
    <w:rsid w:val="00F10A81"/>
    <w:rsid w:val="00F279DA"/>
    <w:rsid w:val="00F33BA9"/>
    <w:rsid w:val="00F33CB9"/>
    <w:rsid w:val="00F36CB7"/>
    <w:rsid w:val="00F43E6A"/>
    <w:rsid w:val="00F43F7E"/>
    <w:rsid w:val="00F5019D"/>
    <w:rsid w:val="00F519D2"/>
    <w:rsid w:val="00F51C45"/>
    <w:rsid w:val="00F70FE8"/>
    <w:rsid w:val="00F75685"/>
    <w:rsid w:val="00F941CA"/>
    <w:rsid w:val="00FA29DB"/>
    <w:rsid w:val="00FA32E9"/>
    <w:rsid w:val="00FB18A6"/>
    <w:rsid w:val="00FB34A8"/>
    <w:rsid w:val="00FC0B8D"/>
    <w:rsid w:val="00FC2C13"/>
    <w:rsid w:val="00FE0BD4"/>
    <w:rsid w:val="00FE30F3"/>
    <w:rsid w:val="00FE7BCE"/>
    <w:rsid w:val="00FF68CE"/>
    <w:rsid w:val="00FF74A2"/>
    <w:rsid w:val="00FF76B7"/>
    <w:rsid w:val="012224F8"/>
    <w:rsid w:val="020016E9"/>
    <w:rsid w:val="038C50E0"/>
    <w:rsid w:val="04672FF0"/>
    <w:rsid w:val="04EA2E17"/>
    <w:rsid w:val="05046782"/>
    <w:rsid w:val="06755E00"/>
    <w:rsid w:val="06C01A45"/>
    <w:rsid w:val="06DB45EA"/>
    <w:rsid w:val="06F849EB"/>
    <w:rsid w:val="07B96EE9"/>
    <w:rsid w:val="08211914"/>
    <w:rsid w:val="082B23A2"/>
    <w:rsid w:val="08437FB0"/>
    <w:rsid w:val="08DF2658"/>
    <w:rsid w:val="0B7C0033"/>
    <w:rsid w:val="0D74548E"/>
    <w:rsid w:val="0DD71E98"/>
    <w:rsid w:val="0E812226"/>
    <w:rsid w:val="0F730794"/>
    <w:rsid w:val="1193288F"/>
    <w:rsid w:val="11AC53EA"/>
    <w:rsid w:val="1202500A"/>
    <w:rsid w:val="12323B41"/>
    <w:rsid w:val="12BF7CE5"/>
    <w:rsid w:val="13F37300"/>
    <w:rsid w:val="149F68D8"/>
    <w:rsid w:val="14F77A9A"/>
    <w:rsid w:val="15B036FB"/>
    <w:rsid w:val="16105F13"/>
    <w:rsid w:val="16976668"/>
    <w:rsid w:val="16B9038D"/>
    <w:rsid w:val="16D95E33"/>
    <w:rsid w:val="17E655F9"/>
    <w:rsid w:val="18C94AD3"/>
    <w:rsid w:val="18F062B2"/>
    <w:rsid w:val="19306A77"/>
    <w:rsid w:val="19EF056A"/>
    <w:rsid w:val="1AA440CA"/>
    <w:rsid w:val="1B8D4958"/>
    <w:rsid w:val="1BD4237D"/>
    <w:rsid w:val="1C896A53"/>
    <w:rsid w:val="1CF001B8"/>
    <w:rsid w:val="1DC615E1"/>
    <w:rsid w:val="1E036392"/>
    <w:rsid w:val="1EE2069D"/>
    <w:rsid w:val="1FBB2626"/>
    <w:rsid w:val="20546CE1"/>
    <w:rsid w:val="20B16579"/>
    <w:rsid w:val="21E93AF0"/>
    <w:rsid w:val="22A0254C"/>
    <w:rsid w:val="22CF4B6B"/>
    <w:rsid w:val="234576FB"/>
    <w:rsid w:val="234B4839"/>
    <w:rsid w:val="255D0A7D"/>
    <w:rsid w:val="26437C73"/>
    <w:rsid w:val="2783357E"/>
    <w:rsid w:val="27992472"/>
    <w:rsid w:val="27B41CE9"/>
    <w:rsid w:val="290C73AE"/>
    <w:rsid w:val="2B3C2783"/>
    <w:rsid w:val="2B4B04D4"/>
    <w:rsid w:val="2E9B3D1C"/>
    <w:rsid w:val="2EA63806"/>
    <w:rsid w:val="31330BF0"/>
    <w:rsid w:val="32A02C1B"/>
    <w:rsid w:val="32D76C86"/>
    <w:rsid w:val="33623B58"/>
    <w:rsid w:val="340C5001"/>
    <w:rsid w:val="34A068FE"/>
    <w:rsid w:val="3522482A"/>
    <w:rsid w:val="3572263D"/>
    <w:rsid w:val="35906305"/>
    <w:rsid w:val="384E4BCE"/>
    <w:rsid w:val="39205BF2"/>
    <w:rsid w:val="39BD78E5"/>
    <w:rsid w:val="3A396F6B"/>
    <w:rsid w:val="3C1948B4"/>
    <w:rsid w:val="3D87623F"/>
    <w:rsid w:val="3DD86A9B"/>
    <w:rsid w:val="3E1A3D86"/>
    <w:rsid w:val="3F440FA2"/>
    <w:rsid w:val="3FD3401C"/>
    <w:rsid w:val="406C796F"/>
    <w:rsid w:val="40C652D1"/>
    <w:rsid w:val="40FC6F44"/>
    <w:rsid w:val="414204FD"/>
    <w:rsid w:val="421F738E"/>
    <w:rsid w:val="425132C0"/>
    <w:rsid w:val="43B27D8E"/>
    <w:rsid w:val="457E32EC"/>
    <w:rsid w:val="45A2210C"/>
    <w:rsid w:val="47BC10A7"/>
    <w:rsid w:val="48435459"/>
    <w:rsid w:val="488A4B91"/>
    <w:rsid w:val="48BF71D5"/>
    <w:rsid w:val="494854C6"/>
    <w:rsid w:val="4A657908"/>
    <w:rsid w:val="4A835FE1"/>
    <w:rsid w:val="4AEB2504"/>
    <w:rsid w:val="4B136BDC"/>
    <w:rsid w:val="4C737357"/>
    <w:rsid w:val="4C9D18D1"/>
    <w:rsid w:val="4D2048D5"/>
    <w:rsid w:val="4E6630BD"/>
    <w:rsid w:val="4E920EE8"/>
    <w:rsid w:val="4F3A5808"/>
    <w:rsid w:val="4F9C3DCC"/>
    <w:rsid w:val="50412BC6"/>
    <w:rsid w:val="513676D7"/>
    <w:rsid w:val="516E79EA"/>
    <w:rsid w:val="51D51A36"/>
    <w:rsid w:val="52CA29FF"/>
    <w:rsid w:val="53715570"/>
    <w:rsid w:val="54B73456"/>
    <w:rsid w:val="553D1BAE"/>
    <w:rsid w:val="56FB5FC3"/>
    <w:rsid w:val="579E08FE"/>
    <w:rsid w:val="57F14A10"/>
    <w:rsid w:val="5A2C6607"/>
    <w:rsid w:val="5A92519D"/>
    <w:rsid w:val="5AEA453A"/>
    <w:rsid w:val="5B2555BE"/>
    <w:rsid w:val="5BB84EFC"/>
    <w:rsid w:val="5D5B4266"/>
    <w:rsid w:val="5D7719D5"/>
    <w:rsid w:val="5DE763BA"/>
    <w:rsid w:val="5E6F53FC"/>
    <w:rsid w:val="5EB74806"/>
    <w:rsid w:val="5F0A3DA9"/>
    <w:rsid w:val="60200102"/>
    <w:rsid w:val="607B34C4"/>
    <w:rsid w:val="60B6788A"/>
    <w:rsid w:val="61BA6334"/>
    <w:rsid w:val="62195745"/>
    <w:rsid w:val="62A37C83"/>
    <w:rsid w:val="62E55633"/>
    <w:rsid w:val="642C3A27"/>
    <w:rsid w:val="6463140D"/>
    <w:rsid w:val="66743D71"/>
    <w:rsid w:val="67D068B1"/>
    <w:rsid w:val="67FD51CC"/>
    <w:rsid w:val="69516627"/>
    <w:rsid w:val="695F613F"/>
    <w:rsid w:val="69DF47A3"/>
    <w:rsid w:val="6A0C16F7"/>
    <w:rsid w:val="6A276D13"/>
    <w:rsid w:val="6A4F46DD"/>
    <w:rsid w:val="6A7308F6"/>
    <w:rsid w:val="6BA61D37"/>
    <w:rsid w:val="6C436C4D"/>
    <w:rsid w:val="6CAB3449"/>
    <w:rsid w:val="6E1D0376"/>
    <w:rsid w:val="6E7206C2"/>
    <w:rsid w:val="6E736CE6"/>
    <w:rsid w:val="70E44070"/>
    <w:rsid w:val="719B34F1"/>
    <w:rsid w:val="7202419A"/>
    <w:rsid w:val="720B5C30"/>
    <w:rsid w:val="72A8328F"/>
    <w:rsid w:val="740D5F4A"/>
    <w:rsid w:val="74F55BA9"/>
    <w:rsid w:val="75FB71EF"/>
    <w:rsid w:val="76E20222"/>
    <w:rsid w:val="772646CE"/>
    <w:rsid w:val="777A05E8"/>
    <w:rsid w:val="78C167AC"/>
    <w:rsid w:val="793622EC"/>
    <w:rsid w:val="79A90D10"/>
    <w:rsid w:val="7AA972CC"/>
    <w:rsid w:val="7ACB4CB6"/>
    <w:rsid w:val="7B3E36DA"/>
    <w:rsid w:val="7B6D17EB"/>
    <w:rsid w:val="7BAD0F8C"/>
    <w:rsid w:val="7C967CAF"/>
    <w:rsid w:val="7CBA7194"/>
    <w:rsid w:val="7F904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AC3814B"/>
  <w15:docId w15:val="{004B705F-3B55-4F2B-B966-65EB3E159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annotation reference"/>
    <w:basedOn w:val="a0"/>
    <w:uiPriority w:val="99"/>
    <w:semiHidden/>
    <w:unhideWhenUsed/>
    <w:qFormat/>
    <w:rPr>
      <w:sz w:val="21"/>
      <w:szCs w:val="21"/>
    </w:rPr>
  </w:style>
  <w:style w:type="character" w:customStyle="1" w:styleId="ft01">
    <w:name w:val="ft01"/>
    <w:basedOn w:val="a0"/>
    <w:qFormat/>
    <w:rPr>
      <w:rFonts w:ascii="Times" w:hAnsi="Times" w:cs="Times" w:hint="default"/>
      <w:color w:val="000000"/>
      <w:spacing w:val="0"/>
      <w:sz w:val="17"/>
      <w:szCs w:val="17"/>
    </w:rPr>
  </w:style>
  <w:style w:type="character" w:customStyle="1" w:styleId="ft210">
    <w:name w:val="ft210"/>
    <w:basedOn w:val="a0"/>
    <w:qFormat/>
    <w:rPr>
      <w:rFonts w:ascii="Times" w:hAnsi="Times" w:cs="Times" w:hint="default"/>
      <w:color w:val="000000"/>
      <w:spacing w:val="0"/>
      <w:sz w:val="38"/>
      <w:szCs w:val="38"/>
    </w:rPr>
  </w:style>
  <w:style w:type="character" w:customStyle="1" w:styleId="ft1010">
    <w:name w:val="ft1010"/>
    <w:basedOn w:val="a0"/>
    <w:qFormat/>
    <w:rPr>
      <w:rFonts w:ascii="Times" w:hAnsi="Times" w:cs="Times" w:hint="default"/>
      <w:color w:val="000000"/>
      <w:spacing w:val="14"/>
      <w:sz w:val="24"/>
      <w:szCs w:val="24"/>
    </w:rPr>
  </w:style>
  <w:style w:type="character" w:customStyle="1" w:styleId="ft1610">
    <w:name w:val="ft1610"/>
    <w:basedOn w:val="a0"/>
    <w:qFormat/>
    <w:rPr>
      <w:rFonts w:ascii="Times" w:hAnsi="Times" w:cs="Times" w:hint="default"/>
      <w:color w:val="000000"/>
      <w:spacing w:val="14"/>
      <w:sz w:val="24"/>
      <w:szCs w:val="24"/>
    </w:rPr>
  </w:style>
  <w:style w:type="character" w:customStyle="1" w:styleId="ft241">
    <w:name w:val="ft241"/>
    <w:basedOn w:val="a0"/>
    <w:qFormat/>
    <w:rPr>
      <w:rFonts w:ascii="Times" w:hAnsi="Times" w:cs="Times" w:hint="default"/>
      <w:color w:val="000000"/>
      <w:spacing w:val="14"/>
      <w:sz w:val="24"/>
      <w:szCs w:val="24"/>
    </w:rPr>
  </w:style>
  <w:style w:type="character" w:customStyle="1" w:styleId="ft410">
    <w:name w:val="ft410"/>
    <w:basedOn w:val="a0"/>
    <w:qFormat/>
    <w:rPr>
      <w:rFonts w:ascii="Times" w:hAnsi="Times" w:cs="Times" w:hint="default"/>
      <w:color w:val="000000"/>
      <w:spacing w:val="0"/>
      <w:sz w:val="24"/>
      <w:szCs w:val="24"/>
    </w:rPr>
  </w:style>
  <w:style w:type="character" w:customStyle="1" w:styleId="ft371">
    <w:name w:val="ft371"/>
    <w:basedOn w:val="a0"/>
    <w:qFormat/>
    <w:rPr>
      <w:rFonts w:ascii="Times" w:hAnsi="Times" w:cs="Times" w:hint="default"/>
      <w:color w:val="000000"/>
      <w:spacing w:val="15"/>
      <w:sz w:val="24"/>
      <w:szCs w:val="24"/>
    </w:rPr>
  </w:style>
  <w:style w:type="character" w:customStyle="1" w:styleId="ft411">
    <w:name w:val="ft411"/>
    <w:basedOn w:val="a0"/>
    <w:qFormat/>
    <w:rPr>
      <w:rFonts w:ascii="Times" w:hAnsi="Times" w:cs="Times" w:hint="default"/>
      <w:color w:val="000000"/>
      <w:spacing w:val="14"/>
      <w:sz w:val="24"/>
      <w:szCs w:val="24"/>
    </w:rPr>
  </w:style>
  <w:style w:type="character" w:customStyle="1" w:styleId="ft591">
    <w:name w:val="ft591"/>
    <w:basedOn w:val="a0"/>
    <w:qFormat/>
    <w:rPr>
      <w:rFonts w:ascii="Times" w:hAnsi="Times" w:cs="Times" w:hint="default"/>
      <w:color w:val="000000"/>
      <w:spacing w:val="14"/>
      <w:sz w:val="24"/>
      <w:szCs w:val="24"/>
    </w:rPr>
  </w:style>
  <w:style w:type="character" w:customStyle="1" w:styleId="ft681">
    <w:name w:val="ft681"/>
    <w:basedOn w:val="a0"/>
    <w:qFormat/>
    <w:rPr>
      <w:rFonts w:ascii="Times" w:hAnsi="Times" w:cs="Times" w:hint="default"/>
      <w:color w:val="000000"/>
      <w:spacing w:val="13"/>
      <w:sz w:val="24"/>
      <w:szCs w:val="24"/>
    </w:rPr>
  </w:style>
  <w:style w:type="character" w:customStyle="1" w:styleId="ft951">
    <w:name w:val="ft951"/>
    <w:basedOn w:val="a0"/>
    <w:qFormat/>
    <w:rPr>
      <w:rFonts w:ascii="Times" w:hAnsi="Times" w:cs="Times" w:hint="default"/>
      <w:color w:val="000000"/>
      <w:spacing w:val="11"/>
      <w:sz w:val="24"/>
      <w:szCs w:val="24"/>
    </w:rPr>
  </w:style>
  <w:style w:type="character" w:customStyle="1" w:styleId="ft1051">
    <w:name w:val="ft1051"/>
    <w:basedOn w:val="a0"/>
    <w:qFormat/>
    <w:rPr>
      <w:rFonts w:ascii="Times" w:hAnsi="Times" w:cs="Times" w:hint="default"/>
      <w:color w:val="000000"/>
      <w:spacing w:val="14"/>
      <w:sz w:val="24"/>
      <w:szCs w:val="24"/>
    </w:rPr>
  </w:style>
  <w:style w:type="character" w:customStyle="1" w:styleId="ft1221">
    <w:name w:val="ft1221"/>
    <w:basedOn w:val="a0"/>
    <w:qFormat/>
    <w:rPr>
      <w:rFonts w:ascii="Times" w:hAnsi="Times" w:cs="Times" w:hint="default"/>
      <w:color w:val="000000"/>
      <w:spacing w:val="14"/>
      <w:sz w:val="24"/>
      <w:szCs w:val="24"/>
    </w:rPr>
  </w:style>
  <w:style w:type="character" w:customStyle="1" w:styleId="ft1421">
    <w:name w:val="ft1421"/>
    <w:basedOn w:val="a0"/>
    <w:qFormat/>
    <w:rPr>
      <w:rFonts w:ascii="Times" w:hAnsi="Times" w:cs="Times" w:hint="default"/>
      <w:color w:val="000000"/>
      <w:spacing w:val="14"/>
      <w:sz w:val="24"/>
      <w:szCs w:val="24"/>
    </w:rPr>
  </w:style>
  <w:style w:type="character" w:customStyle="1" w:styleId="ft1501">
    <w:name w:val="ft1501"/>
    <w:basedOn w:val="a0"/>
    <w:qFormat/>
    <w:rPr>
      <w:rFonts w:ascii="Times" w:hAnsi="Times" w:cs="Times" w:hint="default"/>
      <w:color w:val="000000"/>
      <w:spacing w:val="14"/>
      <w:sz w:val="24"/>
      <w:szCs w:val="24"/>
    </w:rPr>
  </w:style>
  <w:style w:type="character" w:customStyle="1" w:styleId="ft1711">
    <w:name w:val="ft1711"/>
    <w:basedOn w:val="a0"/>
    <w:qFormat/>
    <w:rPr>
      <w:rFonts w:ascii="Times" w:hAnsi="Times" w:cs="Times" w:hint="default"/>
      <w:color w:val="000000"/>
      <w:spacing w:val="14"/>
      <w:sz w:val="24"/>
      <w:szCs w:val="24"/>
    </w:rPr>
  </w:style>
  <w:style w:type="character" w:customStyle="1" w:styleId="ft1741">
    <w:name w:val="ft1741"/>
    <w:basedOn w:val="a0"/>
    <w:qFormat/>
    <w:rPr>
      <w:rFonts w:ascii="Times" w:hAnsi="Times" w:cs="Times" w:hint="default"/>
      <w:color w:val="000000"/>
      <w:spacing w:val="14"/>
      <w:sz w:val="24"/>
      <w:szCs w:val="24"/>
    </w:rPr>
  </w:style>
  <w:style w:type="character" w:customStyle="1" w:styleId="ft1781">
    <w:name w:val="ft1781"/>
    <w:basedOn w:val="a0"/>
    <w:qFormat/>
    <w:rPr>
      <w:rFonts w:ascii="Times" w:hAnsi="Times" w:cs="Times" w:hint="default"/>
      <w:color w:val="000000"/>
      <w:spacing w:val="13"/>
      <w:sz w:val="24"/>
      <w:szCs w:val="24"/>
    </w:rPr>
  </w:style>
  <w:style w:type="character" w:customStyle="1" w:styleId="ft1811">
    <w:name w:val="ft1811"/>
    <w:basedOn w:val="a0"/>
    <w:qFormat/>
    <w:rPr>
      <w:rFonts w:ascii="Times" w:hAnsi="Times" w:cs="Times" w:hint="default"/>
      <w:color w:val="000000"/>
      <w:spacing w:val="14"/>
      <w:sz w:val="24"/>
      <w:szCs w:val="24"/>
    </w:rPr>
  </w:style>
  <w:style w:type="character" w:customStyle="1" w:styleId="ft1821">
    <w:name w:val="ft1821"/>
    <w:basedOn w:val="a0"/>
    <w:qFormat/>
    <w:rPr>
      <w:rFonts w:ascii="Times" w:hAnsi="Times" w:cs="Times" w:hint="default"/>
      <w:color w:val="000000"/>
      <w:spacing w:val="15"/>
      <w:sz w:val="24"/>
      <w:szCs w:val="24"/>
    </w:rPr>
  </w:style>
  <w:style w:type="character" w:customStyle="1" w:styleId="ft1871">
    <w:name w:val="ft1871"/>
    <w:basedOn w:val="a0"/>
    <w:qFormat/>
    <w:rPr>
      <w:rFonts w:ascii="Times" w:hAnsi="Times" w:cs="Times" w:hint="default"/>
      <w:color w:val="000000"/>
      <w:spacing w:val="15"/>
      <w:sz w:val="24"/>
      <w:szCs w:val="24"/>
    </w:rPr>
  </w:style>
  <w:style w:type="character" w:customStyle="1" w:styleId="ft2051">
    <w:name w:val="ft2051"/>
    <w:basedOn w:val="a0"/>
    <w:qFormat/>
    <w:rPr>
      <w:rFonts w:ascii="Times" w:hAnsi="Times" w:cs="Times" w:hint="default"/>
      <w:color w:val="000000"/>
      <w:spacing w:val="14"/>
      <w:sz w:val="24"/>
      <w:szCs w:val="24"/>
    </w:rPr>
  </w:style>
  <w:style w:type="character" w:customStyle="1" w:styleId="ft510">
    <w:name w:val="ft510"/>
    <w:basedOn w:val="a0"/>
    <w:qFormat/>
    <w:rPr>
      <w:rFonts w:ascii="Times" w:hAnsi="Times" w:cs="Times" w:hint="default"/>
      <w:color w:val="000000"/>
      <w:spacing w:val="14"/>
      <w:sz w:val="24"/>
      <w:szCs w:val="24"/>
    </w:rPr>
  </w:style>
  <w:style w:type="character" w:customStyle="1" w:styleId="ft91">
    <w:name w:val="ft91"/>
    <w:basedOn w:val="a0"/>
    <w:qFormat/>
    <w:rPr>
      <w:rFonts w:ascii="Times" w:hAnsi="Times" w:cs="Times" w:hint="default"/>
      <w:color w:val="000000"/>
      <w:spacing w:val="14"/>
      <w:sz w:val="24"/>
      <w:szCs w:val="24"/>
    </w:rPr>
  </w:style>
  <w:style w:type="character" w:customStyle="1" w:styleId="ft161">
    <w:name w:val="ft161"/>
    <w:basedOn w:val="a0"/>
    <w:qFormat/>
    <w:rPr>
      <w:rFonts w:ascii="Times" w:hAnsi="Times" w:cs="Times" w:hint="default"/>
      <w:color w:val="000000"/>
      <w:spacing w:val="14"/>
      <w:sz w:val="24"/>
      <w:szCs w:val="24"/>
    </w:rPr>
  </w:style>
  <w:style w:type="character" w:customStyle="1" w:styleId="ft211">
    <w:name w:val="ft211"/>
    <w:basedOn w:val="a0"/>
    <w:qFormat/>
    <w:rPr>
      <w:rFonts w:ascii="Times" w:hAnsi="Times" w:cs="Times" w:hint="default"/>
      <w:color w:val="000000"/>
      <w:spacing w:val="14"/>
      <w:sz w:val="24"/>
      <w:szCs w:val="24"/>
    </w:rPr>
  </w:style>
  <w:style w:type="character" w:customStyle="1" w:styleId="ft251">
    <w:name w:val="ft251"/>
    <w:basedOn w:val="a0"/>
    <w:qFormat/>
    <w:rPr>
      <w:rFonts w:ascii="Times" w:hAnsi="Times" w:cs="Times" w:hint="default"/>
      <w:color w:val="000000"/>
      <w:spacing w:val="14"/>
      <w:sz w:val="24"/>
      <w:szCs w:val="24"/>
    </w:rPr>
  </w:style>
  <w:style w:type="character" w:customStyle="1" w:styleId="ft301">
    <w:name w:val="ft301"/>
    <w:basedOn w:val="a0"/>
    <w:qFormat/>
    <w:rPr>
      <w:rFonts w:ascii="Times" w:hAnsi="Times" w:cs="Times" w:hint="default"/>
      <w:color w:val="000000"/>
      <w:spacing w:val="14"/>
      <w:sz w:val="24"/>
      <w:szCs w:val="24"/>
    </w:rPr>
  </w:style>
  <w:style w:type="character" w:customStyle="1" w:styleId="ft401">
    <w:name w:val="ft401"/>
    <w:basedOn w:val="a0"/>
    <w:qFormat/>
    <w:rPr>
      <w:rFonts w:ascii="Times" w:hAnsi="Times" w:cs="Times" w:hint="default"/>
      <w:color w:val="000000"/>
      <w:spacing w:val="14"/>
      <w:sz w:val="24"/>
      <w:szCs w:val="24"/>
    </w:rPr>
  </w:style>
  <w:style w:type="character" w:customStyle="1" w:styleId="ft611">
    <w:name w:val="ft611"/>
    <w:basedOn w:val="a0"/>
    <w:qFormat/>
    <w:rPr>
      <w:rFonts w:ascii="Times" w:hAnsi="Times" w:cs="Times" w:hint="default"/>
      <w:color w:val="000000"/>
      <w:spacing w:val="14"/>
      <w:sz w:val="24"/>
      <w:szCs w:val="24"/>
    </w:rPr>
  </w:style>
  <w:style w:type="character" w:customStyle="1" w:styleId="ft641">
    <w:name w:val="ft641"/>
    <w:basedOn w:val="a0"/>
    <w:qFormat/>
    <w:rPr>
      <w:rFonts w:ascii="Times" w:hAnsi="Times" w:cs="Times" w:hint="default"/>
      <w:color w:val="000000"/>
      <w:spacing w:val="14"/>
      <w:sz w:val="24"/>
      <w:szCs w:val="24"/>
    </w:rPr>
  </w:style>
  <w:style w:type="character" w:customStyle="1" w:styleId="ft711">
    <w:name w:val="ft711"/>
    <w:basedOn w:val="a0"/>
    <w:qFormat/>
    <w:rPr>
      <w:rFonts w:ascii="Times" w:hAnsi="Times" w:cs="Times" w:hint="default"/>
      <w:color w:val="000000"/>
      <w:spacing w:val="16"/>
      <w:sz w:val="33"/>
      <w:szCs w:val="33"/>
    </w:rPr>
  </w:style>
  <w:style w:type="character" w:customStyle="1" w:styleId="ft131">
    <w:name w:val="ft131"/>
    <w:basedOn w:val="a0"/>
    <w:qFormat/>
    <w:rPr>
      <w:rFonts w:ascii="Times" w:hAnsi="Times" w:cs="Times" w:hint="default"/>
      <w:color w:val="000000"/>
      <w:spacing w:val="14"/>
      <w:sz w:val="24"/>
      <w:szCs w:val="24"/>
    </w:rPr>
  </w:style>
  <w:style w:type="character" w:customStyle="1" w:styleId="ft271">
    <w:name w:val="ft271"/>
    <w:basedOn w:val="a0"/>
    <w:qFormat/>
    <w:rPr>
      <w:rFonts w:ascii="Times" w:hAnsi="Times" w:cs="Times" w:hint="default"/>
      <w:color w:val="000000"/>
      <w:spacing w:val="14"/>
      <w:sz w:val="24"/>
      <w:szCs w:val="24"/>
    </w:rPr>
  </w:style>
  <w:style w:type="character" w:customStyle="1" w:styleId="ft461">
    <w:name w:val="ft461"/>
    <w:basedOn w:val="a0"/>
    <w:qFormat/>
    <w:rPr>
      <w:rFonts w:ascii="Times" w:hAnsi="Times" w:cs="Times" w:hint="default"/>
      <w:color w:val="000000"/>
      <w:spacing w:val="14"/>
      <w:sz w:val="24"/>
      <w:szCs w:val="24"/>
    </w:rPr>
  </w:style>
  <w:style w:type="character" w:customStyle="1" w:styleId="ft531">
    <w:name w:val="ft531"/>
    <w:basedOn w:val="a0"/>
    <w:qFormat/>
    <w:rPr>
      <w:rFonts w:ascii="Times" w:hAnsi="Times" w:cs="Times" w:hint="default"/>
      <w:color w:val="000000"/>
      <w:spacing w:val="14"/>
      <w:sz w:val="24"/>
      <w:szCs w:val="24"/>
    </w:rPr>
  </w:style>
  <w:style w:type="character" w:customStyle="1" w:styleId="ft801">
    <w:name w:val="ft801"/>
    <w:basedOn w:val="a0"/>
    <w:qFormat/>
    <w:rPr>
      <w:rFonts w:ascii="Times" w:hAnsi="Times" w:cs="Times" w:hint="default"/>
      <w:color w:val="000000"/>
      <w:spacing w:val="14"/>
      <w:sz w:val="24"/>
      <w:szCs w:val="24"/>
    </w:rPr>
  </w:style>
  <w:style w:type="character" w:customStyle="1" w:styleId="ft821">
    <w:name w:val="ft821"/>
    <w:basedOn w:val="a0"/>
    <w:qFormat/>
    <w:rPr>
      <w:rFonts w:ascii="Times" w:hAnsi="Times" w:cs="Times" w:hint="default"/>
      <w:color w:val="000000"/>
      <w:spacing w:val="14"/>
      <w:sz w:val="24"/>
      <w:szCs w:val="24"/>
    </w:rPr>
  </w:style>
  <w:style w:type="character" w:customStyle="1" w:styleId="ft141">
    <w:name w:val="ft141"/>
    <w:basedOn w:val="a0"/>
    <w:qFormat/>
    <w:rPr>
      <w:rFonts w:ascii="Times" w:hAnsi="Times" w:cs="Times" w:hint="default"/>
      <w:color w:val="000000"/>
      <w:spacing w:val="14"/>
      <w:sz w:val="24"/>
      <w:szCs w:val="24"/>
    </w:rPr>
  </w:style>
  <w:style w:type="character" w:customStyle="1" w:styleId="ft231">
    <w:name w:val="ft231"/>
    <w:basedOn w:val="a0"/>
    <w:qFormat/>
    <w:rPr>
      <w:rFonts w:ascii="Times" w:hAnsi="Times" w:cs="Times" w:hint="default"/>
      <w:color w:val="000000"/>
      <w:spacing w:val="14"/>
      <w:sz w:val="24"/>
      <w:szCs w:val="24"/>
    </w:rPr>
  </w:style>
  <w:style w:type="character" w:customStyle="1" w:styleId="ft501">
    <w:name w:val="ft501"/>
    <w:basedOn w:val="a0"/>
    <w:qFormat/>
    <w:rPr>
      <w:rFonts w:ascii="Times" w:hAnsi="Times" w:cs="Times" w:hint="default"/>
      <w:color w:val="000000"/>
      <w:spacing w:val="14"/>
      <w:sz w:val="24"/>
      <w:szCs w:val="24"/>
    </w:rPr>
  </w:style>
  <w:style w:type="character" w:customStyle="1" w:styleId="ft541">
    <w:name w:val="ft541"/>
    <w:basedOn w:val="a0"/>
    <w:qFormat/>
    <w:rPr>
      <w:rFonts w:ascii="Times" w:hAnsi="Times" w:cs="Times" w:hint="default"/>
      <w:color w:val="000000"/>
      <w:spacing w:val="15"/>
      <w:sz w:val="24"/>
      <w:szCs w:val="24"/>
    </w:rPr>
  </w:style>
  <w:style w:type="character" w:customStyle="1" w:styleId="ft751">
    <w:name w:val="ft751"/>
    <w:basedOn w:val="a0"/>
    <w:qFormat/>
    <w:rPr>
      <w:rFonts w:ascii="Times" w:hAnsi="Times" w:cs="Times" w:hint="default"/>
      <w:color w:val="000000"/>
      <w:spacing w:val="14"/>
      <w:sz w:val="24"/>
      <w:szCs w:val="24"/>
    </w:rPr>
  </w:style>
  <w:style w:type="character" w:customStyle="1" w:styleId="ft831">
    <w:name w:val="ft831"/>
    <w:basedOn w:val="a0"/>
    <w:qFormat/>
    <w:rPr>
      <w:rFonts w:ascii="Times" w:hAnsi="Times" w:cs="Times" w:hint="default"/>
      <w:color w:val="000000"/>
      <w:spacing w:val="14"/>
      <w:sz w:val="24"/>
      <w:szCs w:val="24"/>
    </w:rPr>
  </w:style>
  <w:style w:type="character" w:customStyle="1" w:styleId="ft841">
    <w:name w:val="ft841"/>
    <w:basedOn w:val="a0"/>
    <w:qFormat/>
    <w:rPr>
      <w:rFonts w:ascii="Times" w:hAnsi="Times" w:cs="Times" w:hint="default"/>
      <w:color w:val="000000"/>
      <w:spacing w:val="15"/>
      <w:sz w:val="24"/>
      <w:szCs w:val="24"/>
    </w:rPr>
  </w:style>
  <w:style w:type="character" w:customStyle="1" w:styleId="ft861">
    <w:name w:val="ft861"/>
    <w:basedOn w:val="a0"/>
    <w:qFormat/>
    <w:rPr>
      <w:rFonts w:ascii="Times" w:hAnsi="Times" w:cs="Times" w:hint="default"/>
      <w:color w:val="000000"/>
      <w:spacing w:val="14"/>
      <w:sz w:val="24"/>
      <w:szCs w:val="24"/>
    </w:rPr>
  </w:style>
  <w:style w:type="character" w:customStyle="1" w:styleId="ft891">
    <w:name w:val="ft891"/>
    <w:basedOn w:val="a0"/>
    <w:qFormat/>
    <w:rPr>
      <w:rFonts w:ascii="Times" w:hAnsi="Times" w:cs="Times" w:hint="default"/>
      <w:color w:val="000000"/>
      <w:spacing w:val="14"/>
      <w:sz w:val="24"/>
      <w:szCs w:val="24"/>
    </w:rPr>
  </w:style>
  <w:style w:type="character" w:customStyle="1" w:styleId="ft971">
    <w:name w:val="ft971"/>
    <w:basedOn w:val="a0"/>
    <w:qFormat/>
    <w:rPr>
      <w:rFonts w:ascii="Times" w:hAnsi="Times" w:cs="Times" w:hint="default"/>
      <w:color w:val="000000"/>
      <w:spacing w:val="17"/>
      <w:sz w:val="24"/>
      <w:szCs w:val="24"/>
    </w:rPr>
  </w:style>
  <w:style w:type="character" w:customStyle="1" w:styleId="ft991">
    <w:name w:val="ft991"/>
    <w:basedOn w:val="a0"/>
    <w:qFormat/>
    <w:rPr>
      <w:rFonts w:ascii="Times" w:hAnsi="Times" w:cs="Times" w:hint="default"/>
      <w:color w:val="000000"/>
      <w:spacing w:val="14"/>
      <w:sz w:val="24"/>
      <w:szCs w:val="24"/>
    </w:rPr>
  </w:style>
  <w:style w:type="character" w:customStyle="1" w:styleId="ft1061">
    <w:name w:val="ft1061"/>
    <w:basedOn w:val="a0"/>
    <w:qFormat/>
    <w:rPr>
      <w:rFonts w:ascii="Times" w:hAnsi="Times" w:cs="Times" w:hint="default"/>
      <w:color w:val="000000"/>
      <w:spacing w:val="14"/>
      <w:sz w:val="24"/>
      <w:szCs w:val="24"/>
    </w:rPr>
  </w:style>
  <w:style w:type="character" w:customStyle="1" w:styleId="ft1081">
    <w:name w:val="ft1081"/>
    <w:basedOn w:val="a0"/>
    <w:qFormat/>
    <w:rPr>
      <w:rFonts w:ascii="Times" w:hAnsi="Times" w:cs="Times" w:hint="default"/>
      <w:color w:val="000000"/>
      <w:spacing w:val="14"/>
      <w:sz w:val="24"/>
      <w:szCs w:val="24"/>
    </w:rPr>
  </w:style>
  <w:style w:type="character" w:customStyle="1" w:styleId="ft610">
    <w:name w:val="ft610"/>
    <w:basedOn w:val="a0"/>
    <w:qFormat/>
    <w:rPr>
      <w:rFonts w:ascii="Times" w:hAnsi="Times" w:cs="Times" w:hint="default"/>
      <w:color w:val="000000"/>
      <w:spacing w:val="14"/>
      <w:sz w:val="24"/>
      <w:szCs w:val="24"/>
    </w:rPr>
  </w:style>
  <w:style w:type="character" w:customStyle="1" w:styleId="ft910">
    <w:name w:val="ft910"/>
    <w:basedOn w:val="a0"/>
    <w:qFormat/>
    <w:rPr>
      <w:rFonts w:ascii="Times" w:hAnsi="Times" w:cs="Times" w:hint="default"/>
      <w:color w:val="000000"/>
      <w:spacing w:val="13"/>
      <w:sz w:val="24"/>
      <w:szCs w:val="24"/>
    </w:rPr>
  </w:style>
  <w:style w:type="character" w:customStyle="1" w:styleId="ft221">
    <w:name w:val="ft221"/>
    <w:basedOn w:val="a0"/>
    <w:qFormat/>
    <w:rPr>
      <w:rFonts w:ascii="Times" w:hAnsi="Times" w:cs="Times" w:hint="default"/>
      <w:color w:val="000000"/>
      <w:spacing w:val="14"/>
      <w:sz w:val="24"/>
      <w:szCs w:val="24"/>
    </w:rPr>
  </w:style>
  <w:style w:type="character" w:customStyle="1" w:styleId="ft261">
    <w:name w:val="ft261"/>
    <w:basedOn w:val="a0"/>
    <w:qFormat/>
    <w:rPr>
      <w:rFonts w:ascii="Times" w:hAnsi="Times" w:cs="Times" w:hint="default"/>
      <w:color w:val="000000"/>
      <w:spacing w:val="16"/>
      <w:sz w:val="24"/>
      <w:szCs w:val="24"/>
    </w:rPr>
  </w:style>
  <w:style w:type="character" w:customStyle="1" w:styleId="ft281">
    <w:name w:val="ft281"/>
    <w:basedOn w:val="a0"/>
    <w:qFormat/>
    <w:rPr>
      <w:rFonts w:ascii="Times" w:hAnsi="Times" w:cs="Times" w:hint="default"/>
      <w:color w:val="000000"/>
      <w:spacing w:val="14"/>
      <w:sz w:val="24"/>
      <w:szCs w:val="24"/>
    </w:rPr>
  </w:style>
  <w:style w:type="character" w:customStyle="1" w:styleId="ft571">
    <w:name w:val="ft571"/>
    <w:basedOn w:val="a0"/>
    <w:qFormat/>
    <w:rPr>
      <w:rFonts w:ascii="Times" w:hAnsi="Times" w:cs="Times" w:hint="default"/>
      <w:color w:val="000000"/>
      <w:spacing w:val="14"/>
      <w:sz w:val="24"/>
      <w:szCs w:val="24"/>
    </w:rPr>
  </w:style>
  <w:style w:type="character" w:customStyle="1" w:styleId="ft701">
    <w:name w:val="ft701"/>
    <w:basedOn w:val="a0"/>
    <w:qFormat/>
    <w:rPr>
      <w:rFonts w:ascii="Times" w:hAnsi="Times" w:cs="Times" w:hint="default"/>
      <w:color w:val="000000"/>
      <w:spacing w:val="14"/>
      <w:sz w:val="24"/>
      <w:szCs w:val="24"/>
    </w:rPr>
  </w:style>
  <w:style w:type="character" w:customStyle="1" w:styleId="ft761">
    <w:name w:val="ft761"/>
    <w:basedOn w:val="a0"/>
    <w:qFormat/>
    <w:rPr>
      <w:rFonts w:ascii="Times" w:hAnsi="Times" w:cs="Times" w:hint="default"/>
      <w:color w:val="000000"/>
      <w:spacing w:val="14"/>
      <w:sz w:val="24"/>
      <w:szCs w:val="24"/>
    </w:rPr>
  </w:style>
  <w:style w:type="character" w:customStyle="1" w:styleId="ft871">
    <w:name w:val="ft871"/>
    <w:basedOn w:val="a0"/>
    <w:qFormat/>
    <w:rPr>
      <w:rFonts w:ascii="Times" w:hAnsi="Times" w:cs="Times" w:hint="default"/>
      <w:color w:val="000000"/>
      <w:spacing w:val="14"/>
      <w:sz w:val="24"/>
      <w:szCs w:val="24"/>
    </w:rPr>
  </w:style>
  <w:style w:type="character" w:customStyle="1" w:styleId="ft1101">
    <w:name w:val="ft1101"/>
    <w:basedOn w:val="a0"/>
    <w:qFormat/>
    <w:rPr>
      <w:rFonts w:ascii="Times" w:hAnsi="Times" w:cs="Times" w:hint="default"/>
      <w:color w:val="000000"/>
      <w:spacing w:val="14"/>
      <w:sz w:val="24"/>
      <w:szCs w:val="24"/>
    </w:rPr>
  </w:style>
  <w:style w:type="character" w:customStyle="1" w:styleId="ft81">
    <w:name w:val="ft81"/>
    <w:basedOn w:val="a0"/>
    <w:qFormat/>
    <w:rPr>
      <w:rFonts w:ascii="Times" w:hAnsi="Times" w:cs="Times" w:hint="default"/>
      <w:color w:val="000000"/>
      <w:spacing w:val="14"/>
      <w:sz w:val="24"/>
      <w:szCs w:val="24"/>
    </w:rPr>
  </w:style>
  <w:style w:type="character" w:customStyle="1" w:styleId="ft121">
    <w:name w:val="ft121"/>
    <w:basedOn w:val="a0"/>
    <w:qFormat/>
    <w:rPr>
      <w:rFonts w:ascii="Times" w:hAnsi="Times" w:cs="Times" w:hint="default"/>
      <w:color w:val="000000"/>
      <w:spacing w:val="14"/>
      <w:sz w:val="24"/>
      <w:szCs w:val="24"/>
    </w:rPr>
  </w:style>
  <w:style w:type="character" w:customStyle="1" w:styleId="ft181">
    <w:name w:val="ft181"/>
    <w:basedOn w:val="a0"/>
    <w:qFormat/>
    <w:rPr>
      <w:rFonts w:ascii="Times" w:hAnsi="Times" w:cs="Times" w:hint="default"/>
      <w:color w:val="000000"/>
      <w:spacing w:val="14"/>
      <w:sz w:val="24"/>
      <w:szCs w:val="24"/>
    </w:rPr>
  </w:style>
  <w:style w:type="character" w:customStyle="1" w:styleId="ft451">
    <w:name w:val="ft451"/>
    <w:basedOn w:val="a0"/>
    <w:qFormat/>
    <w:rPr>
      <w:rFonts w:ascii="Times" w:hAnsi="Times" w:cs="Times" w:hint="default"/>
      <w:color w:val="000000"/>
      <w:spacing w:val="14"/>
      <w:sz w:val="24"/>
      <w:szCs w:val="24"/>
    </w:rPr>
  </w:style>
  <w:style w:type="character" w:customStyle="1" w:styleId="ft631">
    <w:name w:val="ft631"/>
    <w:basedOn w:val="a0"/>
    <w:qFormat/>
    <w:rPr>
      <w:rFonts w:ascii="Times" w:hAnsi="Times" w:cs="Times" w:hint="default"/>
      <w:color w:val="000000"/>
      <w:spacing w:val="14"/>
      <w:sz w:val="24"/>
      <w:szCs w:val="24"/>
    </w:rPr>
  </w:style>
  <w:style w:type="character" w:customStyle="1" w:styleId="ft671">
    <w:name w:val="ft671"/>
    <w:basedOn w:val="a0"/>
    <w:qFormat/>
    <w:rPr>
      <w:rFonts w:ascii="Times" w:hAnsi="Times" w:cs="Times" w:hint="default"/>
      <w:color w:val="000000"/>
      <w:spacing w:val="16"/>
      <w:sz w:val="24"/>
      <w:szCs w:val="24"/>
    </w:rPr>
  </w:style>
  <w:style w:type="character" w:customStyle="1" w:styleId="ft721">
    <w:name w:val="ft721"/>
    <w:basedOn w:val="a0"/>
    <w:qFormat/>
    <w:rPr>
      <w:rFonts w:ascii="Times" w:hAnsi="Times" w:cs="Times" w:hint="default"/>
      <w:color w:val="000000"/>
      <w:spacing w:val="16"/>
      <w:sz w:val="24"/>
      <w:szCs w:val="24"/>
    </w:rPr>
  </w:style>
  <w:style w:type="character" w:customStyle="1" w:styleId="ft791">
    <w:name w:val="ft791"/>
    <w:basedOn w:val="a0"/>
    <w:qFormat/>
    <w:rPr>
      <w:rFonts w:ascii="Times" w:hAnsi="Times" w:cs="Times" w:hint="default"/>
      <w:color w:val="000000"/>
      <w:spacing w:val="14"/>
      <w:sz w:val="24"/>
      <w:szCs w:val="24"/>
    </w:rPr>
  </w:style>
  <w:style w:type="character" w:customStyle="1" w:styleId="ft361">
    <w:name w:val="ft361"/>
    <w:basedOn w:val="a0"/>
    <w:qFormat/>
    <w:rPr>
      <w:rFonts w:ascii="Times" w:hAnsi="Times" w:cs="Times" w:hint="default"/>
      <w:color w:val="000000"/>
      <w:spacing w:val="14"/>
      <w:sz w:val="24"/>
      <w:szCs w:val="24"/>
    </w:rPr>
  </w:style>
  <w:style w:type="character" w:customStyle="1" w:styleId="ft421">
    <w:name w:val="ft421"/>
    <w:basedOn w:val="a0"/>
    <w:qFormat/>
    <w:rPr>
      <w:rFonts w:ascii="Times" w:hAnsi="Times" w:cs="Times" w:hint="default"/>
      <w:color w:val="000000"/>
      <w:spacing w:val="14"/>
      <w:sz w:val="24"/>
      <w:szCs w:val="24"/>
    </w:rPr>
  </w:style>
  <w:style w:type="character" w:customStyle="1" w:styleId="ft441">
    <w:name w:val="ft441"/>
    <w:basedOn w:val="a0"/>
    <w:qFormat/>
    <w:rPr>
      <w:rFonts w:ascii="Times" w:hAnsi="Times" w:cs="Times" w:hint="default"/>
      <w:color w:val="000000"/>
      <w:spacing w:val="14"/>
      <w:sz w:val="24"/>
      <w:szCs w:val="24"/>
    </w:rPr>
  </w:style>
  <w:style w:type="character" w:customStyle="1" w:styleId="ft851">
    <w:name w:val="ft851"/>
    <w:basedOn w:val="a0"/>
    <w:qFormat/>
    <w:rPr>
      <w:rFonts w:ascii="Times" w:hAnsi="Times" w:cs="Times" w:hint="default"/>
      <w:color w:val="000000"/>
      <w:spacing w:val="14"/>
      <w:sz w:val="24"/>
      <w:szCs w:val="24"/>
    </w:rPr>
  </w:style>
  <w:style w:type="character" w:customStyle="1" w:styleId="ft881">
    <w:name w:val="ft881"/>
    <w:basedOn w:val="a0"/>
    <w:qFormat/>
    <w:rPr>
      <w:rFonts w:ascii="Times" w:hAnsi="Times" w:cs="Times" w:hint="default"/>
      <w:color w:val="000000"/>
      <w:spacing w:val="14"/>
      <w:sz w:val="24"/>
      <w:szCs w:val="24"/>
    </w:rPr>
  </w:style>
  <w:style w:type="character" w:customStyle="1" w:styleId="ft1011">
    <w:name w:val="ft1011"/>
    <w:basedOn w:val="a0"/>
    <w:qFormat/>
    <w:rPr>
      <w:rFonts w:ascii="Times" w:hAnsi="Times" w:cs="Times" w:hint="default"/>
      <w:color w:val="000000"/>
      <w:spacing w:val="14"/>
      <w:sz w:val="24"/>
      <w:szCs w:val="24"/>
    </w:rPr>
  </w:style>
  <w:style w:type="character" w:customStyle="1" w:styleId="ft1071">
    <w:name w:val="ft1071"/>
    <w:basedOn w:val="a0"/>
    <w:qFormat/>
    <w:rPr>
      <w:rFonts w:ascii="Times" w:hAnsi="Times" w:cs="Times" w:hint="default"/>
      <w:color w:val="000000"/>
      <w:spacing w:val="14"/>
      <w:sz w:val="24"/>
      <w:szCs w:val="24"/>
    </w:rPr>
  </w:style>
  <w:style w:type="character" w:customStyle="1" w:styleId="ft1181">
    <w:name w:val="ft1181"/>
    <w:basedOn w:val="a0"/>
    <w:qFormat/>
    <w:rPr>
      <w:rFonts w:ascii="Times" w:hAnsi="Times" w:cs="Times" w:hint="default"/>
      <w:color w:val="000000"/>
      <w:spacing w:val="14"/>
      <w:sz w:val="24"/>
      <w:szCs w:val="24"/>
    </w:rPr>
  </w:style>
  <w:style w:type="character" w:customStyle="1" w:styleId="ft1241">
    <w:name w:val="ft1241"/>
    <w:basedOn w:val="a0"/>
    <w:qFormat/>
    <w:rPr>
      <w:rFonts w:ascii="Times" w:hAnsi="Times" w:cs="Times" w:hint="default"/>
      <w:color w:val="000000"/>
      <w:spacing w:val="15"/>
      <w:sz w:val="24"/>
      <w:szCs w:val="24"/>
    </w:rPr>
  </w:style>
  <w:style w:type="character" w:customStyle="1" w:styleId="ft1291">
    <w:name w:val="ft1291"/>
    <w:basedOn w:val="a0"/>
    <w:qFormat/>
    <w:rPr>
      <w:rFonts w:ascii="Times" w:hAnsi="Times" w:cs="Times" w:hint="default"/>
      <w:color w:val="000000"/>
      <w:spacing w:val="14"/>
      <w:sz w:val="24"/>
      <w:szCs w:val="24"/>
    </w:rPr>
  </w:style>
  <w:style w:type="character" w:customStyle="1" w:styleId="ft1331">
    <w:name w:val="ft1331"/>
    <w:basedOn w:val="a0"/>
    <w:qFormat/>
    <w:rPr>
      <w:rFonts w:ascii="Times" w:hAnsi="Times" w:cs="Times" w:hint="default"/>
      <w:color w:val="000000"/>
      <w:spacing w:val="15"/>
      <w:sz w:val="24"/>
      <w:szCs w:val="24"/>
    </w:rPr>
  </w:style>
  <w:style w:type="character" w:customStyle="1" w:styleId="ft1511">
    <w:name w:val="ft1511"/>
    <w:basedOn w:val="a0"/>
    <w:qFormat/>
    <w:rPr>
      <w:rFonts w:ascii="Times" w:hAnsi="Times" w:cs="Times" w:hint="default"/>
      <w:color w:val="000000"/>
      <w:spacing w:val="14"/>
      <w:sz w:val="24"/>
      <w:szCs w:val="24"/>
    </w:rPr>
  </w:style>
  <w:style w:type="character" w:customStyle="1" w:styleId="ft1531">
    <w:name w:val="ft1531"/>
    <w:basedOn w:val="a0"/>
    <w:qFormat/>
    <w:rPr>
      <w:rFonts w:ascii="Times" w:hAnsi="Times" w:cs="Times" w:hint="default"/>
      <w:color w:val="000000"/>
      <w:spacing w:val="14"/>
      <w:sz w:val="24"/>
      <w:szCs w:val="24"/>
    </w:rPr>
  </w:style>
  <w:style w:type="character" w:customStyle="1" w:styleId="ft1661">
    <w:name w:val="ft1661"/>
    <w:basedOn w:val="a0"/>
    <w:qFormat/>
    <w:rPr>
      <w:rFonts w:ascii="Times" w:hAnsi="Times" w:cs="Times" w:hint="default"/>
      <w:color w:val="000000"/>
      <w:spacing w:val="14"/>
      <w:sz w:val="24"/>
      <w:szCs w:val="24"/>
    </w:rPr>
  </w:style>
  <w:style w:type="character" w:customStyle="1" w:styleId="ft1691">
    <w:name w:val="ft1691"/>
    <w:basedOn w:val="a0"/>
    <w:qFormat/>
    <w:rPr>
      <w:rFonts w:ascii="Times" w:hAnsi="Times" w:cs="Times" w:hint="default"/>
      <w:color w:val="000000"/>
      <w:spacing w:val="14"/>
      <w:sz w:val="24"/>
      <w:szCs w:val="24"/>
    </w:rPr>
  </w:style>
  <w:style w:type="character" w:customStyle="1" w:styleId="ft1731">
    <w:name w:val="ft1731"/>
    <w:basedOn w:val="a0"/>
    <w:qFormat/>
    <w:rPr>
      <w:rFonts w:ascii="Times" w:hAnsi="Times" w:cs="Times" w:hint="default"/>
      <w:color w:val="000000"/>
      <w:spacing w:val="15"/>
      <w:sz w:val="24"/>
      <w:szCs w:val="24"/>
    </w:rPr>
  </w:style>
  <w:style w:type="character" w:customStyle="1" w:styleId="ft310">
    <w:name w:val="ft310"/>
    <w:basedOn w:val="a0"/>
    <w:qFormat/>
    <w:rPr>
      <w:rFonts w:ascii="Times" w:hAnsi="Times" w:cs="Times" w:hint="default"/>
      <w:color w:val="333333"/>
      <w:spacing w:val="0"/>
      <w:sz w:val="24"/>
      <w:szCs w:val="24"/>
    </w:rPr>
  </w:style>
  <w:style w:type="character" w:customStyle="1" w:styleId="ft291">
    <w:name w:val="ft291"/>
    <w:basedOn w:val="a0"/>
    <w:qFormat/>
    <w:rPr>
      <w:rFonts w:ascii="Times" w:hAnsi="Times" w:cs="Times" w:hint="default"/>
      <w:color w:val="000000"/>
      <w:spacing w:val="14"/>
      <w:sz w:val="24"/>
      <w:szCs w:val="24"/>
    </w:rPr>
  </w:style>
  <w:style w:type="character" w:customStyle="1" w:styleId="ft321">
    <w:name w:val="ft321"/>
    <w:basedOn w:val="a0"/>
    <w:qFormat/>
    <w:rPr>
      <w:rFonts w:ascii="Times" w:hAnsi="Times" w:cs="Times" w:hint="default"/>
      <w:color w:val="000000"/>
      <w:spacing w:val="13"/>
      <w:sz w:val="24"/>
      <w:szCs w:val="24"/>
    </w:rPr>
  </w:style>
  <w:style w:type="character" w:customStyle="1" w:styleId="ft581">
    <w:name w:val="ft581"/>
    <w:basedOn w:val="a0"/>
    <w:qFormat/>
    <w:rPr>
      <w:rFonts w:ascii="Times" w:hAnsi="Times" w:cs="Times" w:hint="default"/>
      <w:color w:val="000000"/>
      <w:spacing w:val="14"/>
      <w:sz w:val="24"/>
      <w:szCs w:val="24"/>
    </w:rPr>
  </w:style>
  <w:style w:type="character" w:customStyle="1" w:styleId="ft601">
    <w:name w:val="ft601"/>
    <w:basedOn w:val="a0"/>
    <w:qFormat/>
    <w:rPr>
      <w:rFonts w:ascii="Times" w:hAnsi="Times" w:cs="Times" w:hint="default"/>
      <w:color w:val="000000"/>
      <w:spacing w:val="14"/>
      <w:sz w:val="24"/>
      <w:szCs w:val="24"/>
    </w:rPr>
  </w:style>
  <w:style w:type="character" w:customStyle="1" w:styleId="ft811">
    <w:name w:val="ft811"/>
    <w:basedOn w:val="a0"/>
    <w:qFormat/>
    <w:rPr>
      <w:rFonts w:ascii="Times" w:hAnsi="Times" w:cs="Times" w:hint="default"/>
      <w:color w:val="000000"/>
      <w:spacing w:val="14"/>
      <w:sz w:val="24"/>
      <w:szCs w:val="24"/>
    </w:rPr>
  </w:style>
  <w:style w:type="character" w:customStyle="1" w:styleId="ft1121">
    <w:name w:val="ft1121"/>
    <w:basedOn w:val="a0"/>
    <w:qFormat/>
    <w:rPr>
      <w:rFonts w:ascii="Times" w:hAnsi="Times" w:cs="Times" w:hint="default"/>
      <w:color w:val="000000"/>
      <w:spacing w:val="14"/>
      <w:sz w:val="24"/>
      <w:szCs w:val="24"/>
    </w:rPr>
  </w:style>
  <w:style w:type="character" w:customStyle="1" w:styleId="ft1191">
    <w:name w:val="ft1191"/>
    <w:basedOn w:val="a0"/>
    <w:qFormat/>
    <w:rPr>
      <w:rFonts w:ascii="Times" w:hAnsi="Times" w:cs="Times" w:hint="default"/>
      <w:color w:val="000000"/>
      <w:spacing w:val="14"/>
      <w:sz w:val="24"/>
      <w:szCs w:val="24"/>
    </w:rPr>
  </w:style>
  <w:style w:type="character" w:customStyle="1" w:styleId="ft1251">
    <w:name w:val="ft1251"/>
    <w:basedOn w:val="a0"/>
    <w:qFormat/>
    <w:rPr>
      <w:rFonts w:ascii="Times" w:hAnsi="Times" w:cs="Times" w:hint="default"/>
      <w:color w:val="000000"/>
      <w:spacing w:val="14"/>
      <w:sz w:val="24"/>
      <w:szCs w:val="24"/>
    </w:rPr>
  </w:style>
  <w:style w:type="character" w:customStyle="1" w:styleId="ft1271">
    <w:name w:val="ft1271"/>
    <w:basedOn w:val="a0"/>
    <w:qFormat/>
    <w:rPr>
      <w:rFonts w:ascii="Times" w:hAnsi="Times" w:cs="Times" w:hint="default"/>
      <w:color w:val="000000"/>
      <w:spacing w:val="14"/>
      <w:sz w:val="24"/>
      <w:szCs w:val="24"/>
    </w:rPr>
  </w:style>
  <w:style w:type="character" w:customStyle="1" w:styleId="ft1341">
    <w:name w:val="ft1341"/>
    <w:basedOn w:val="a0"/>
    <w:qFormat/>
    <w:rPr>
      <w:rFonts w:ascii="Times" w:hAnsi="Times" w:cs="Times" w:hint="default"/>
      <w:color w:val="000000"/>
      <w:spacing w:val="14"/>
      <w:sz w:val="24"/>
      <w:szCs w:val="24"/>
    </w:rPr>
  </w:style>
  <w:style w:type="character" w:customStyle="1" w:styleId="ft1441">
    <w:name w:val="ft1441"/>
    <w:basedOn w:val="a0"/>
    <w:qFormat/>
    <w:rPr>
      <w:rFonts w:ascii="Times" w:hAnsi="Times" w:cs="Times" w:hint="default"/>
      <w:color w:val="000000"/>
      <w:spacing w:val="13"/>
      <w:sz w:val="24"/>
      <w:szCs w:val="24"/>
    </w:rPr>
  </w:style>
  <w:style w:type="character" w:customStyle="1" w:styleId="ft1451">
    <w:name w:val="ft1451"/>
    <w:basedOn w:val="a0"/>
    <w:qFormat/>
    <w:rPr>
      <w:rFonts w:ascii="Times" w:hAnsi="Times" w:cs="Times" w:hint="default"/>
      <w:color w:val="000000"/>
      <w:spacing w:val="17"/>
      <w:sz w:val="24"/>
      <w:szCs w:val="24"/>
    </w:rPr>
  </w:style>
  <w:style w:type="character" w:customStyle="1" w:styleId="ft191">
    <w:name w:val="ft191"/>
    <w:basedOn w:val="a0"/>
    <w:qFormat/>
    <w:rPr>
      <w:rFonts w:ascii="Times" w:hAnsi="Times" w:cs="Times" w:hint="default"/>
      <w:color w:val="000000"/>
      <w:spacing w:val="14"/>
      <w:sz w:val="24"/>
      <w:szCs w:val="24"/>
    </w:rPr>
  </w:style>
  <w:style w:type="character" w:customStyle="1" w:styleId="ft341">
    <w:name w:val="ft341"/>
    <w:basedOn w:val="a0"/>
    <w:qFormat/>
    <w:rPr>
      <w:rFonts w:ascii="Times" w:hAnsi="Times" w:cs="Times" w:hint="default"/>
      <w:color w:val="000000"/>
      <w:spacing w:val="14"/>
      <w:sz w:val="24"/>
      <w:szCs w:val="24"/>
    </w:rPr>
  </w:style>
  <w:style w:type="character" w:customStyle="1" w:styleId="ft391">
    <w:name w:val="ft391"/>
    <w:basedOn w:val="a0"/>
    <w:qFormat/>
    <w:rPr>
      <w:rFonts w:ascii="Times" w:hAnsi="Times" w:cs="Times" w:hint="default"/>
      <w:color w:val="000000"/>
      <w:spacing w:val="14"/>
      <w:sz w:val="24"/>
      <w:szCs w:val="24"/>
    </w:rPr>
  </w:style>
  <w:style w:type="character" w:customStyle="1" w:styleId="ft431">
    <w:name w:val="ft431"/>
    <w:basedOn w:val="a0"/>
    <w:qFormat/>
    <w:rPr>
      <w:rFonts w:ascii="Times" w:hAnsi="Times" w:cs="Times" w:hint="default"/>
      <w:color w:val="000000"/>
      <w:spacing w:val="14"/>
      <w:sz w:val="24"/>
      <w:szCs w:val="24"/>
    </w:rPr>
  </w:style>
  <w:style w:type="character" w:customStyle="1" w:styleId="ft471">
    <w:name w:val="ft471"/>
    <w:basedOn w:val="a0"/>
    <w:qFormat/>
    <w:rPr>
      <w:rFonts w:ascii="Times" w:hAnsi="Times" w:cs="Times" w:hint="default"/>
      <w:color w:val="000000"/>
      <w:spacing w:val="14"/>
      <w:sz w:val="24"/>
      <w:szCs w:val="24"/>
    </w:rPr>
  </w:style>
  <w:style w:type="character" w:customStyle="1" w:styleId="ft491">
    <w:name w:val="ft491"/>
    <w:basedOn w:val="a0"/>
    <w:qFormat/>
    <w:rPr>
      <w:rFonts w:ascii="Times" w:hAnsi="Times" w:cs="Times" w:hint="default"/>
      <w:color w:val="000000"/>
      <w:spacing w:val="14"/>
      <w:sz w:val="24"/>
      <w:szCs w:val="24"/>
    </w:rPr>
  </w:style>
  <w:style w:type="character" w:customStyle="1" w:styleId="ft521">
    <w:name w:val="ft521"/>
    <w:basedOn w:val="a0"/>
    <w:qFormat/>
    <w:rPr>
      <w:rFonts w:ascii="Times" w:hAnsi="Times" w:cs="Times" w:hint="default"/>
      <w:color w:val="000000"/>
      <w:spacing w:val="14"/>
      <w:sz w:val="24"/>
      <w:szCs w:val="24"/>
    </w:rPr>
  </w:style>
  <w:style w:type="character" w:customStyle="1" w:styleId="ft661">
    <w:name w:val="ft661"/>
    <w:basedOn w:val="a0"/>
    <w:qFormat/>
    <w:rPr>
      <w:rFonts w:ascii="Times" w:hAnsi="Times" w:cs="Times" w:hint="default"/>
      <w:color w:val="000000"/>
      <w:spacing w:val="14"/>
      <w:sz w:val="24"/>
      <w:szCs w:val="24"/>
    </w:rPr>
  </w:style>
  <w:style w:type="character" w:customStyle="1" w:styleId="ft691">
    <w:name w:val="ft691"/>
    <w:basedOn w:val="a0"/>
    <w:qFormat/>
    <w:rPr>
      <w:rFonts w:ascii="Times" w:hAnsi="Times" w:cs="Times" w:hint="default"/>
      <w:color w:val="000000"/>
      <w:spacing w:val="14"/>
      <w:sz w:val="24"/>
      <w:szCs w:val="24"/>
    </w:rPr>
  </w:style>
  <w:style w:type="character" w:customStyle="1" w:styleId="ft731">
    <w:name w:val="ft731"/>
    <w:basedOn w:val="a0"/>
    <w:qFormat/>
    <w:rPr>
      <w:rFonts w:ascii="Times" w:hAnsi="Times" w:cs="Times" w:hint="default"/>
      <w:color w:val="000000"/>
      <w:spacing w:val="14"/>
      <w:sz w:val="24"/>
      <w:szCs w:val="24"/>
    </w:rPr>
  </w:style>
  <w:style w:type="character" w:customStyle="1" w:styleId="ft111">
    <w:name w:val="ft111"/>
    <w:basedOn w:val="a0"/>
    <w:qFormat/>
    <w:rPr>
      <w:rFonts w:ascii="Times" w:hAnsi="Times" w:cs="Times" w:hint="default"/>
      <w:color w:val="000000"/>
      <w:spacing w:val="14"/>
      <w:sz w:val="24"/>
      <w:szCs w:val="24"/>
    </w:rPr>
  </w:style>
  <w:style w:type="character" w:customStyle="1" w:styleId="ft171">
    <w:name w:val="ft171"/>
    <w:basedOn w:val="a0"/>
    <w:qFormat/>
    <w:rPr>
      <w:rFonts w:ascii="Times" w:hAnsi="Times" w:cs="Times" w:hint="default"/>
      <w:color w:val="000000"/>
      <w:spacing w:val="14"/>
      <w:sz w:val="24"/>
      <w:szCs w:val="24"/>
    </w:rPr>
  </w:style>
  <w:style w:type="character" w:customStyle="1" w:styleId="ft381">
    <w:name w:val="ft381"/>
    <w:basedOn w:val="a0"/>
    <w:qFormat/>
    <w:rPr>
      <w:rFonts w:ascii="Times" w:hAnsi="Times" w:cs="Times" w:hint="default"/>
      <w:color w:val="000000"/>
      <w:spacing w:val="14"/>
      <w:sz w:val="24"/>
      <w:szCs w:val="24"/>
    </w:rPr>
  </w:style>
  <w:style w:type="character" w:customStyle="1" w:styleId="ft710">
    <w:name w:val="ft710"/>
    <w:basedOn w:val="a0"/>
    <w:qFormat/>
    <w:rPr>
      <w:rFonts w:ascii="Times" w:hAnsi="Times" w:cs="Times" w:hint="default"/>
      <w:color w:val="000000"/>
      <w:spacing w:val="17"/>
      <w:sz w:val="24"/>
      <w:szCs w:val="24"/>
    </w:rPr>
  </w:style>
  <w:style w:type="character" w:customStyle="1" w:styleId="ft651">
    <w:name w:val="ft651"/>
    <w:basedOn w:val="a0"/>
    <w:qFormat/>
    <w:rPr>
      <w:rFonts w:ascii="Times" w:hAnsi="Times" w:cs="Times" w:hint="default"/>
      <w:color w:val="000000"/>
      <w:spacing w:val="14"/>
      <w:sz w:val="24"/>
      <w:szCs w:val="24"/>
    </w:rPr>
  </w:style>
  <w:style w:type="character" w:customStyle="1" w:styleId="ft21">
    <w:name w:val="ft21"/>
    <w:basedOn w:val="a0"/>
    <w:qFormat/>
    <w:rPr>
      <w:rFonts w:ascii="Times" w:hAnsi="Times" w:cs="Times" w:hint="default"/>
      <w:color w:val="000000"/>
      <w:spacing w:val="0"/>
      <w:sz w:val="24"/>
      <w:szCs w:val="24"/>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styleId="af">
    <w:name w:val="List Paragraph"/>
    <w:basedOn w:val="a"/>
    <w:uiPriority w:val="34"/>
    <w:qFormat/>
    <w:pPr>
      <w:ind w:firstLineChars="200" w:firstLine="420"/>
    </w:pPr>
    <w:rPr>
      <w:rFonts w:ascii="Times New Roman" w:eastAsia="宋体" w:hAnsi="Times New Roman" w:cs="Times New Roman"/>
      <w:szCs w:val="24"/>
    </w:rPr>
  </w:style>
  <w:style w:type="character" w:customStyle="1" w:styleId="a6">
    <w:name w:val="批注框文本 字符"/>
    <w:basedOn w:val="a0"/>
    <w:link w:val="a5"/>
    <w:uiPriority w:val="99"/>
    <w:semiHidden/>
    <w:qFormat/>
    <w:rPr>
      <w:sz w:val="18"/>
      <w:szCs w:val="18"/>
    </w:rPr>
  </w:style>
  <w:style w:type="character" w:customStyle="1" w:styleId="a4">
    <w:name w:val="批注文字 字符"/>
    <w:basedOn w:val="a0"/>
    <w:link w:val="a3"/>
    <w:uiPriority w:val="99"/>
    <w:semiHidden/>
    <w:qFormat/>
  </w:style>
  <w:style w:type="character" w:customStyle="1" w:styleId="ac">
    <w:name w:val="批注主题 字符"/>
    <w:basedOn w:val="a4"/>
    <w:link w:val="ab"/>
    <w:uiPriority w:val="99"/>
    <w:semiHidden/>
    <w:qFormat/>
    <w:rPr>
      <w:b/>
      <w:bCs/>
    </w:rPr>
  </w:style>
  <w:style w:type="paragraph" w:customStyle="1" w:styleId="Style130">
    <w:name w:val="_Style 130"/>
    <w:basedOn w:val="a"/>
    <w:next w:val="af"/>
    <w:uiPriority w:val="34"/>
    <w:qFormat/>
    <w:pPr>
      <w:ind w:firstLineChars="200" w:firstLine="420"/>
    </w:pPr>
    <w:rPr>
      <w:rFonts w:ascii="Times New Roman" w:eastAsia="宋体" w:hAnsi="Times New Roman" w:cs="Times New Roman"/>
      <w:szCs w:val="24"/>
    </w:r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paragraph" w:styleId="af0">
    <w:name w:val="Revision"/>
    <w:hidden/>
    <w:uiPriority w:val="99"/>
    <w:unhideWhenUsed/>
    <w:rsid w:val="00795C99"/>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E7BB462F-4435-49D5-836A-F31353B58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1807</Words>
  <Characters>10306</Characters>
  <Application>Microsoft Office Word</Application>
  <DocSecurity>0</DocSecurity>
  <Lines>85</Lines>
  <Paragraphs>24</Paragraphs>
  <ScaleCrop>false</ScaleCrop>
  <Company>CHINA</Company>
  <LinksUpToDate>false</LinksUpToDate>
  <CharactersWithSpaces>12089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20150721</dc:creator>
  <cp:lastModifiedBy>林德生</cp:lastModifiedBy>
  <cp:revision>8</cp:revision>
  <cp:lastPrinted>2025-08-08T08:19:00Z</cp:lastPrinted>
  <dcterms:created xsi:type="dcterms:W3CDTF">2026-03-11T02:04:00Z</dcterms:created>
  <dcterms:modified xsi:type="dcterms:W3CDTF">2026-03-26T12:04:00Z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9BCA3F2F0C014C1BA2F98BC7B63F391A</vt:lpwstr>
  </property>
  <property fmtid="{D5CDD505-2E9C-101B-9397-08002B2CF9AE}" pid="4" name="KSOTemplateDocerSaveRecord">
    <vt:lpwstr>eyJoZGlkIjoiMWM1YTQ4YTJjM2Q3ZDlhOWU3ZmExZDUyMGIwNDIxZDUiLCJ1c2VySWQiOiI3NjI5MjE4MzUifQ==</vt:lpwstr>
  </property>
</Properties>
</file>