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0862F" w14:textId="2C5DD1FF" w:rsidR="00B50969" w:rsidRDefault="00D87EA0">
      <w:pPr>
        <w:spacing w:beforeLines="50" w:before="156" w:afterLines="100" w:after="312" w:line="360" w:lineRule="exact"/>
        <w:rPr>
          <w:rFonts w:ascii="Times New Roman" w:hAnsi="Times New Roman"/>
        </w:rPr>
      </w:pPr>
      <w:r>
        <w:rPr>
          <w:rFonts w:ascii="Times New Roman" w:hAnsi="Times New Roman"/>
        </w:rPr>
        <w:t>证券代码：</w:t>
      </w:r>
      <w:r>
        <w:rPr>
          <w:rFonts w:ascii="Times New Roman" w:hAnsi="Times New Roman"/>
        </w:rPr>
        <w:t xml:space="preserve">002672               </w:t>
      </w:r>
      <w:r>
        <w:rPr>
          <w:rFonts w:ascii="Times New Roman" w:hAnsi="Times New Roman"/>
        </w:rPr>
        <w:t>证券简称：东江环保</w:t>
      </w:r>
      <w:r>
        <w:rPr>
          <w:rFonts w:ascii="Times New Roman" w:hAnsi="Times New Roman"/>
        </w:rPr>
        <w:t xml:space="preserve">            </w:t>
      </w:r>
      <w:r>
        <w:rPr>
          <w:rFonts w:ascii="Times New Roman" w:hAnsi="Times New Roman"/>
        </w:rPr>
        <w:t>公告编号：</w:t>
      </w:r>
      <w:r>
        <w:rPr>
          <w:rFonts w:ascii="Times New Roman" w:hAnsi="Times New Roman"/>
        </w:rPr>
        <w:t>202</w:t>
      </w:r>
      <w:r w:rsidR="00353B24">
        <w:rPr>
          <w:rFonts w:ascii="Times New Roman" w:hAnsi="Times New Roman" w:hint="eastAsia"/>
        </w:rPr>
        <w:t>6</w:t>
      </w:r>
      <w:r>
        <w:rPr>
          <w:rFonts w:ascii="Times New Roman" w:hAnsi="Times New Roman"/>
        </w:rPr>
        <w:t>-</w:t>
      </w:r>
      <w:r w:rsidR="00353B24">
        <w:rPr>
          <w:rFonts w:ascii="Times New Roman" w:hAnsi="Times New Roman" w:hint="eastAsia"/>
        </w:rPr>
        <w:t>15</w:t>
      </w:r>
    </w:p>
    <w:p w14:paraId="5BC88FB1" w14:textId="77777777" w:rsidR="00B50969" w:rsidRDefault="00D87EA0">
      <w:pPr>
        <w:spacing w:beforeLines="50" w:before="156" w:afterLines="100" w:after="312" w:line="360" w:lineRule="exact"/>
        <w:jc w:val="center"/>
        <w:rPr>
          <w:rFonts w:ascii="Times New Roman" w:hAnsi="Times New Roman"/>
          <w:b/>
          <w:sz w:val="32"/>
          <w:szCs w:val="32"/>
        </w:rPr>
      </w:pPr>
      <w:r>
        <w:rPr>
          <w:rFonts w:ascii="Times New Roman" w:hAnsi="Times New Roman"/>
          <w:b/>
          <w:sz w:val="32"/>
          <w:szCs w:val="32"/>
        </w:rPr>
        <w:t>东江环保股份有限公司</w:t>
      </w:r>
    </w:p>
    <w:p w14:paraId="383D523E" w14:textId="05A6F4F0" w:rsidR="00B50969" w:rsidRDefault="00353B24">
      <w:pPr>
        <w:spacing w:beforeLines="50" w:before="156" w:afterLines="100" w:after="312" w:line="360" w:lineRule="exact"/>
        <w:jc w:val="center"/>
        <w:rPr>
          <w:rFonts w:ascii="Times New Roman" w:hAnsi="Times New Roman"/>
          <w:b/>
          <w:sz w:val="32"/>
          <w:szCs w:val="32"/>
        </w:rPr>
      </w:pPr>
      <w:r w:rsidRPr="00353B24">
        <w:rPr>
          <w:rFonts w:ascii="Times New Roman" w:hAnsi="Times New Roman" w:hint="eastAsia"/>
          <w:b/>
          <w:sz w:val="32"/>
          <w:szCs w:val="32"/>
        </w:rPr>
        <w:t>关于</w:t>
      </w:r>
      <w:r w:rsidRPr="00353B24">
        <w:rPr>
          <w:rFonts w:ascii="Times New Roman" w:hAnsi="Times New Roman" w:hint="eastAsia"/>
          <w:b/>
          <w:sz w:val="32"/>
          <w:szCs w:val="32"/>
        </w:rPr>
        <w:t>2025</w:t>
      </w:r>
      <w:r w:rsidRPr="00353B24">
        <w:rPr>
          <w:rFonts w:ascii="Times New Roman" w:hAnsi="Times New Roman" w:hint="eastAsia"/>
          <w:b/>
          <w:sz w:val="32"/>
          <w:szCs w:val="32"/>
        </w:rPr>
        <w:t>年度计提资产减值准备的公告</w:t>
      </w:r>
    </w:p>
    <w:tbl>
      <w:tblPr>
        <w:tblW w:w="0" w:type="auto"/>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72"/>
      </w:tblGrid>
      <w:tr w:rsidR="00B50969" w14:paraId="54EB7173" w14:textId="77777777">
        <w:trPr>
          <w:trHeight w:val="842"/>
        </w:trPr>
        <w:tc>
          <w:tcPr>
            <w:tcW w:w="9012" w:type="dxa"/>
          </w:tcPr>
          <w:p w14:paraId="2388DF4E" w14:textId="77777777" w:rsidR="00B50969" w:rsidRDefault="00D87EA0">
            <w:pPr>
              <w:spacing w:beforeLines="50" w:before="156" w:afterLines="100" w:after="312" w:line="360" w:lineRule="exact"/>
              <w:ind w:firstLineChars="200" w:firstLine="480"/>
              <w:rPr>
                <w:rFonts w:ascii="Times New Roman" w:hAnsi="Times New Roman"/>
                <w:bCs/>
                <w:sz w:val="24"/>
              </w:rPr>
            </w:pPr>
            <w:r>
              <w:rPr>
                <w:rFonts w:ascii="Times New Roman" w:hAnsi="Times New Roman"/>
                <w:bCs/>
                <w:sz w:val="24"/>
              </w:rPr>
              <w:t>公司及其董事会全体成员保证信息披露内容真实、准确、完整，没有虚假记载、误导性陈述或重大遗漏。</w:t>
            </w:r>
          </w:p>
        </w:tc>
      </w:tr>
    </w:tbl>
    <w:p w14:paraId="676C38DE" w14:textId="7B0C8E85" w:rsidR="00B50969" w:rsidRPr="00025EEB" w:rsidRDefault="00D87EA0" w:rsidP="00025EEB">
      <w:pPr>
        <w:spacing w:beforeLines="50" w:before="156" w:afterLines="50" w:after="156" w:line="520" w:lineRule="exact"/>
        <w:ind w:firstLineChars="200" w:firstLine="480"/>
        <w:rPr>
          <w:rFonts w:ascii="Times New Roman" w:hAnsi="Times New Roman"/>
          <w:sz w:val="24"/>
        </w:rPr>
      </w:pPr>
      <w:bookmarkStart w:id="0" w:name="OLE_LINK4"/>
      <w:bookmarkStart w:id="1" w:name="OLE_LINK2"/>
      <w:bookmarkStart w:id="2" w:name="OLE_LINK1"/>
      <w:r w:rsidRPr="00025EEB">
        <w:rPr>
          <w:rFonts w:ascii="Times New Roman" w:hAnsi="Times New Roman"/>
          <w:sz w:val="24"/>
        </w:rPr>
        <w:t>东江环保股份有限公司（以下简称</w:t>
      </w:r>
      <w:r w:rsidR="002458D1">
        <w:rPr>
          <w:rFonts w:ascii="Times New Roman" w:hAnsi="Times New Roman" w:hint="eastAsia"/>
          <w:sz w:val="24"/>
        </w:rPr>
        <w:t>“</w:t>
      </w:r>
      <w:r w:rsidR="00025EEB" w:rsidRPr="00025EEB">
        <w:rPr>
          <w:rFonts w:ascii="Times New Roman" w:hAnsi="Times New Roman"/>
          <w:sz w:val="24"/>
        </w:rPr>
        <w:t>公司</w:t>
      </w:r>
      <w:r w:rsidR="002458D1">
        <w:rPr>
          <w:rFonts w:ascii="Times New Roman" w:hAnsi="Times New Roman" w:hint="eastAsia"/>
          <w:sz w:val="24"/>
        </w:rPr>
        <w:t>”</w:t>
      </w:r>
      <w:r w:rsidRPr="00025EEB">
        <w:rPr>
          <w:rFonts w:ascii="Times New Roman" w:hAnsi="Times New Roman"/>
          <w:sz w:val="24"/>
        </w:rPr>
        <w:t>）于</w:t>
      </w:r>
      <w:r w:rsidRPr="00025EEB">
        <w:rPr>
          <w:rFonts w:ascii="Times New Roman" w:hAnsi="Times New Roman"/>
          <w:sz w:val="24"/>
        </w:rPr>
        <w:t>202</w:t>
      </w:r>
      <w:r w:rsidR="00353B24">
        <w:rPr>
          <w:rFonts w:ascii="Times New Roman" w:hAnsi="Times New Roman" w:hint="eastAsia"/>
          <w:sz w:val="24"/>
        </w:rPr>
        <w:t>6</w:t>
      </w:r>
      <w:r w:rsidRPr="00025EEB">
        <w:rPr>
          <w:rFonts w:ascii="Times New Roman" w:hAnsi="Times New Roman"/>
          <w:sz w:val="24"/>
        </w:rPr>
        <w:t>年</w:t>
      </w:r>
      <w:r w:rsidRPr="00025EEB">
        <w:rPr>
          <w:rFonts w:ascii="Times New Roman" w:hAnsi="Times New Roman"/>
          <w:sz w:val="24"/>
        </w:rPr>
        <w:t>3</w:t>
      </w:r>
      <w:r w:rsidRPr="00025EEB">
        <w:rPr>
          <w:rFonts w:ascii="Times New Roman" w:hAnsi="Times New Roman"/>
          <w:sz w:val="24"/>
        </w:rPr>
        <w:t>月</w:t>
      </w:r>
      <w:r w:rsidRPr="00025EEB">
        <w:rPr>
          <w:rFonts w:ascii="Times New Roman" w:hAnsi="Times New Roman"/>
          <w:sz w:val="24"/>
        </w:rPr>
        <w:t>2</w:t>
      </w:r>
      <w:r w:rsidR="00353B24">
        <w:rPr>
          <w:rFonts w:ascii="Times New Roman" w:hAnsi="Times New Roman" w:hint="eastAsia"/>
          <w:sz w:val="24"/>
        </w:rPr>
        <w:t>7</w:t>
      </w:r>
      <w:r w:rsidRPr="00025EEB">
        <w:rPr>
          <w:rFonts w:ascii="Times New Roman" w:hAnsi="Times New Roman"/>
          <w:sz w:val="24"/>
        </w:rPr>
        <w:t>日召开的第</w:t>
      </w:r>
      <w:r w:rsidR="00025EEB" w:rsidRPr="00025EEB">
        <w:rPr>
          <w:rFonts w:ascii="Times New Roman" w:hAnsi="Times New Roman"/>
          <w:sz w:val="24"/>
        </w:rPr>
        <w:t>八</w:t>
      </w:r>
      <w:r w:rsidRPr="00025EEB">
        <w:rPr>
          <w:rFonts w:ascii="Times New Roman" w:hAnsi="Times New Roman"/>
          <w:sz w:val="24"/>
        </w:rPr>
        <w:t>届董事会第</w:t>
      </w:r>
      <w:r w:rsidR="00353B24">
        <w:rPr>
          <w:rFonts w:ascii="Times New Roman" w:hAnsi="Times New Roman" w:hint="eastAsia"/>
          <w:sz w:val="24"/>
        </w:rPr>
        <w:t>十</w:t>
      </w:r>
      <w:r w:rsidRPr="00025EEB">
        <w:rPr>
          <w:rFonts w:ascii="Times New Roman" w:hAnsi="Times New Roman"/>
          <w:sz w:val="24"/>
        </w:rPr>
        <w:t>四次会议审议通过了《关于</w:t>
      </w:r>
      <w:r w:rsidRPr="00025EEB">
        <w:rPr>
          <w:rFonts w:ascii="Times New Roman" w:hAnsi="Times New Roman"/>
          <w:sz w:val="24"/>
        </w:rPr>
        <w:t>202</w:t>
      </w:r>
      <w:r w:rsidR="00353B24">
        <w:rPr>
          <w:rFonts w:ascii="Times New Roman" w:hAnsi="Times New Roman" w:hint="eastAsia"/>
          <w:sz w:val="24"/>
        </w:rPr>
        <w:t>5</w:t>
      </w:r>
      <w:r w:rsidRPr="00025EEB">
        <w:rPr>
          <w:rFonts w:ascii="Times New Roman" w:hAnsi="Times New Roman"/>
          <w:sz w:val="24"/>
        </w:rPr>
        <w:t>年度计提资产减值准备的议案》，根据相关规定，现将具体情况公告如下：</w:t>
      </w:r>
    </w:p>
    <w:p w14:paraId="3DCE92A9" w14:textId="77777777" w:rsidR="00B50969" w:rsidRPr="00C630F7" w:rsidRDefault="00D87EA0"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b/>
          <w:sz w:val="24"/>
          <w:szCs w:val="32"/>
        </w:rPr>
        <w:t>一、本次计提资产减值准备的情况概述</w:t>
      </w:r>
    </w:p>
    <w:p w14:paraId="252F4EE5" w14:textId="0353004B" w:rsidR="005B438D" w:rsidRDefault="005B438D" w:rsidP="00353B24">
      <w:pPr>
        <w:spacing w:beforeLines="50" w:before="156" w:afterLines="50" w:after="156" w:line="520" w:lineRule="exact"/>
        <w:ind w:firstLineChars="200" w:firstLine="480"/>
        <w:rPr>
          <w:rFonts w:ascii="Times New Roman" w:hAnsi="Times New Roman"/>
          <w:sz w:val="24"/>
        </w:rPr>
      </w:pPr>
      <w:r w:rsidRPr="005B438D">
        <w:rPr>
          <w:rFonts w:ascii="Times New Roman" w:hAnsi="Times New Roman" w:hint="eastAsia"/>
          <w:sz w:val="24"/>
        </w:rPr>
        <w:t>根据《企业会计准则》的相关规定，为真实反映公司的财务状况、资产价值及经营成果，公司对合并报表中截至</w:t>
      </w:r>
      <w:r w:rsidRPr="005B438D">
        <w:rPr>
          <w:rFonts w:ascii="Times New Roman" w:hAnsi="Times New Roman" w:hint="eastAsia"/>
          <w:sz w:val="24"/>
        </w:rPr>
        <w:t>2025</w:t>
      </w:r>
      <w:r w:rsidRPr="005B438D">
        <w:rPr>
          <w:rFonts w:ascii="Times New Roman" w:hAnsi="Times New Roman" w:hint="eastAsia"/>
          <w:sz w:val="24"/>
        </w:rPr>
        <w:t>年</w:t>
      </w:r>
      <w:r w:rsidRPr="005B438D">
        <w:rPr>
          <w:rFonts w:ascii="Times New Roman" w:hAnsi="Times New Roman" w:hint="eastAsia"/>
          <w:sz w:val="24"/>
        </w:rPr>
        <w:t>12</w:t>
      </w:r>
      <w:r w:rsidRPr="005B438D">
        <w:rPr>
          <w:rFonts w:ascii="Times New Roman" w:hAnsi="Times New Roman" w:hint="eastAsia"/>
          <w:sz w:val="24"/>
        </w:rPr>
        <w:t>月</w:t>
      </w:r>
      <w:r w:rsidRPr="005B438D">
        <w:rPr>
          <w:rFonts w:ascii="Times New Roman" w:hAnsi="Times New Roman" w:hint="eastAsia"/>
          <w:sz w:val="24"/>
        </w:rPr>
        <w:t>31</w:t>
      </w:r>
      <w:r w:rsidRPr="005B438D">
        <w:rPr>
          <w:rFonts w:ascii="Times New Roman" w:hAnsi="Times New Roman" w:hint="eastAsia"/>
          <w:sz w:val="24"/>
        </w:rPr>
        <w:t>日的相关资产价值进行了梳理和分析，按资产类别进行了测试，对存在的可能发生的资产减值损失的资产计提资产减值准备。</w:t>
      </w:r>
    </w:p>
    <w:p w14:paraId="622A4BF3" w14:textId="2697AC96" w:rsidR="005B438D"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hint="eastAsia"/>
          <w:b/>
          <w:sz w:val="24"/>
          <w:szCs w:val="32"/>
        </w:rPr>
        <w:t>二、本次计提资产减值准备的资产范围、总金额及说明</w:t>
      </w:r>
    </w:p>
    <w:p w14:paraId="1B3CFA98"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sz w:val="24"/>
        </w:rPr>
        <w:t>公司202</w:t>
      </w:r>
      <w:r>
        <w:rPr>
          <w:rFonts w:ascii="宋体" w:hAnsi="宋体" w:hint="eastAsia"/>
          <w:sz w:val="24"/>
        </w:rPr>
        <w:t>5</w:t>
      </w:r>
      <w:r>
        <w:rPr>
          <w:rFonts w:ascii="宋体" w:hAnsi="宋体"/>
          <w:sz w:val="24"/>
        </w:rPr>
        <w:t>年度合并报表范围内计提各项资产减值准备共计</w:t>
      </w:r>
      <w:r w:rsidRPr="004C01C6">
        <w:rPr>
          <w:rFonts w:ascii="宋体" w:hAnsi="宋体"/>
          <w:sz w:val="24"/>
        </w:rPr>
        <w:t>45,406.43</w:t>
      </w:r>
      <w:r>
        <w:rPr>
          <w:rFonts w:ascii="宋体" w:hAnsi="宋体"/>
          <w:sz w:val="24"/>
        </w:rPr>
        <w:t>万元，计提各项资产减值准备明细如下：</w:t>
      </w:r>
    </w:p>
    <w:p w14:paraId="0D666CC4" w14:textId="77777777" w:rsidR="005B438D" w:rsidRDefault="005B438D" w:rsidP="005B438D">
      <w:pPr>
        <w:spacing w:beforeLines="50" w:before="156" w:afterLines="50" w:after="156" w:line="440" w:lineRule="exact"/>
        <w:ind w:firstLineChars="200" w:firstLine="480"/>
        <w:jc w:val="right"/>
        <w:rPr>
          <w:rFonts w:ascii="宋体" w:hAnsi="宋体" w:hint="eastAsia"/>
          <w:sz w:val="24"/>
        </w:rPr>
      </w:pPr>
      <w:r>
        <w:rPr>
          <w:rFonts w:ascii="宋体" w:hAnsi="宋体"/>
          <w:sz w:val="24"/>
        </w:rPr>
        <w:t xml:space="preserve">                                                       单位：万元</w:t>
      </w:r>
    </w:p>
    <w:tbl>
      <w:tblPr>
        <w:tblW w:w="5000" w:type="pct"/>
        <w:tblLook w:val="04A0" w:firstRow="1" w:lastRow="0" w:firstColumn="1" w:lastColumn="0" w:noHBand="0" w:noVBand="1"/>
      </w:tblPr>
      <w:tblGrid>
        <w:gridCol w:w="1736"/>
        <w:gridCol w:w="2002"/>
        <w:gridCol w:w="4568"/>
      </w:tblGrid>
      <w:tr w:rsidR="005B438D" w14:paraId="6DDC9BF2" w14:textId="77777777" w:rsidTr="00836F46">
        <w:trPr>
          <w:trHeight w:val="1065"/>
        </w:trPr>
        <w:tc>
          <w:tcPr>
            <w:tcW w:w="1045" w:type="pct"/>
            <w:tcBorders>
              <w:top w:val="double" w:sz="4" w:space="0" w:color="auto"/>
              <w:left w:val="nil"/>
              <w:bottom w:val="single" w:sz="4" w:space="0" w:color="auto"/>
              <w:right w:val="single" w:sz="4" w:space="0" w:color="auto"/>
            </w:tcBorders>
            <w:noWrap/>
            <w:vAlign w:val="center"/>
          </w:tcPr>
          <w:p w14:paraId="2D6762FC" w14:textId="77777777" w:rsidR="005B438D" w:rsidRDefault="005B438D" w:rsidP="00836F46">
            <w:pPr>
              <w:widowControl/>
              <w:jc w:val="left"/>
              <w:rPr>
                <w:rFonts w:ascii="宋体" w:hAnsi="宋体" w:cs="宋体" w:hint="eastAsia"/>
                <w:color w:val="000000"/>
                <w:kern w:val="0"/>
                <w:sz w:val="22"/>
              </w:rPr>
            </w:pPr>
            <w:r>
              <w:rPr>
                <w:rFonts w:ascii="宋体" w:hAnsi="宋体" w:cs="宋体" w:hint="eastAsia"/>
                <w:color w:val="000000"/>
                <w:kern w:val="0"/>
                <w:sz w:val="22"/>
              </w:rPr>
              <w:t>资产项目</w:t>
            </w:r>
          </w:p>
        </w:tc>
        <w:tc>
          <w:tcPr>
            <w:tcW w:w="1205" w:type="pct"/>
            <w:tcBorders>
              <w:top w:val="double" w:sz="4" w:space="0" w:color="auto"/>
              <w:left w:val="nil"/>
              <w:bottom w:val="single" w:sz="4" w:space="0" w:color="auto"/>
              <w:right w:val="single" w:sz="4" w:space="0" w:color="auto"/>
            </w:tcBorders>
            <w:vAlign w:val="center"/>
          </w:tcPr>
          <w:p w14:paraId="724D37D5" w14:textId="77777777" w:rsidR="005B438D" w:rsidRDefault="005B438D" w:rsidP="00836F46">
            <w:pPr>
              <w:widowControl/>
              <w:jc w:val="center"/>
              <w:rPr>
                <w:rFonts w:ascii="宋体" w:hAnsi="宋体" w:cs="宋体" w:hint="eastAsia"/>
                <w:color w:val="000000"/>
                <w:kern w:val="0"/>
                <w:sz w:val="22"/>
              </w:rPr>
            </w:pPr>
            <w:r>
              <w:rPr>
                <w:rFonts w:ascii="宋体" w:hAnsi="宋体" w:cs="宋体" w:hint="eastAsia"/>
                <w:color w:val="000000"/>
                <w:kern w:val="0"/>
                <w:sz w:val="22"/>
              </w:rPr>
              <w:t>20</w:t>
            </w:r>
            <w:r>
              <w:rPr>
                <w:rFonts w:ascii="宋体" w:hAnsi="宋体" w:cs="宋体"/>
                <w:color w:val="000000"/>
                <w:kern w:val="0"/>
                <w:sz w:val="22"/>
              </w:rPr>
              <w:t>2</w:t>
            </w:r>
            <w:r>
              <w:rPr>
                <w:rFonts w:ascii="宋体" w:hAnsi="宋体" w:cs="宋体" w:hint="eastAsia"/>
                <w:color w:val="000000"/>
                <w:kern w:val="0"/>
                <w:sz w:val="22"/>
              </w:rPr>
              <w:t>5年度计提资产减值准备金额</w:t>
            </w:r>
          </w:p>
        </w:tc>
        <w:tc>
          <w:tcPr>
            <w:tcW w:w="2750" w:type="pct"/>
            <w:tcBorders>
              <w:top w:val="double" w:sz="4" w:space="0" w:color="auto"/>
              <w:left w:val="nil"/>
              <w:bottom w:val="single" w:sz="4" w:space="0" w:color="auto"/>
              <w:right w:val="nil"/>
            </w:tcBorders>
            <w:noWrap/>
            <w:vAlign w:val="center"/>
          </w:tcPr>
          <w:p w14:paraId="1763E1DD" w14:textId="77777777" w:rsidR="005B438D" w:rsidRDefault="005B438D" w:rsidP="00836F46">
            <w:pPr>
              <w:widowControl/>
              <w:jc w:val="center"/>
              <w:rPr>
                <w:rFonts w:ascii="宋体" w:hAnsi="宋体" w:cs="宋体" w:hint="eastAsia"/>
                <w:color w:val="000000"/>
                <w:kern w:val="0"/>
                <w:sz w:val="22"/>
              </w:rPr>
            </w:pPr>
            <w:r>
              <w:rPr>
                <w:rFonts w:ascii="宋体" w:hAnsi="宋体" w:cs="宋体" w:hint="eastAsia"/>
                <w:color w:val="000000"/>
                <w:kern w:val="0"/>
                <w:sz w:val="22"/>
              </w:rPr>
              <w:t>计提资产减值准备的说明</w:t>
            </w:r>
          </w:p>
        </w:tc>
      </w:tr>
      <w:tr w:rsidR="005B438D" w14:paraId="7BD6359E" w14:textId="77777777" w:rsidTr="00836F46">
        <w:trPr>
          <w:trHeight w:val="540"/>
        </w:trPr>
        <w:tc>
          <w:tcPr>
            <w:tcW w:w="1045" w:type="pct"/>
            <w:tcBorders>
              <w:top w:val="nil"/>
              <w:left w:val="nil"/>
              <w:bottom w:val="single" w:sz="4" w:space="0" w:color="auto"/>
              <w:right w:val="single" w:sz="4" w:space="0" w:color="auto"/>
            </w:tcBorders>
            <w:vAlign w:val="center"/>
          </w:tcPr>
          <w:p w14:paraId="435789C0" w14:textId="77777777" w:rsidR="005B438D" w:rsidRPr="00830305" w:rsidRDefault="005B438D" w:rsidP="00836F46">
            <w:pPr>
              <w:widowControl/>
              <w:jc w:val="left"/>
              <w:rPr>
                <w:rFonts w:ascii="宋体" w:hAnsi="宋体" w:hint="eastAsia"/>
                <w:color w:val="000000"/>
                <w:kern w:val="0"/>
                <w:sz w:val="22"/>
              </w:rPr>
            </w:pPr>
            <w:r w:rsidRPr="00830305">
              <w:rPr>
                <w:rFonts w:ascii="宋体" w:hAnsi="宋体" w:hint="eastAsia"/>
                <w:color w:val="000000"/>
                <w:sz w:val="22"/>
              </w:rPr>
              <w:t>应收账款</w:t>
            </w:r>
          </w:p>
        </w:tc>
        <w:tc>
          <w:tcPr>
            <w:tcW w:w="1205" w:type="pct"/>
            <w:tcBorders>
              <w:top w:val="nil"/>
              <w:left w:val="nil"/>
              <w:bottom w:val="single" w:sz="4" w:space="0" w:color="auto"/>
              <w:right w:val="single" w:sz="4" w:space="0" w:color="auto"/>
            </w:tcBorders>
            <w:vAlign w:val="center"/>
          </w:tcPr>
          <w:p w14:paraId="104C67E4"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3,610.24</w:t>
            </w:r>
          </w:p>
        </w:tc>
        <w:tc>
          <w:tcPr>
            <w:tcW w:w="2750" w:type="pct"/>
            <w:tcBorders>
              <w:top w:val="nil"/>
              <w:left w:val="nil"/>
              <w:bottom w:val="single" w:sz="4" w:space="0" w:color="auto"/>
              <w:right w:val="nil"/>
            </w:tcBorders>
            <w:vAlign w:val="center"/>
          </w:tcPr>
          <w:p w14:paraId="5E3A40D6" w14:textId="77777777" w:rsidR="005B438D" w:rsidRDefault="005B438D" w:rsidP="00836F46">
            <w:pPr>
              <w:widowControl/>
              <w:jc w:val="left"/>
              <w:rPr>
                <w:color w:val="000000"/>
                <w:kern w:val="0"/>
                <w:sz w:val="22"/>
              </w:rPr>
            </w:pPr>
            <w:r>
              <w:rPr>
                <w:rFonts w:hint="eastAsia"/>
                <w:color w:val="000000"/>
                <w:sz w:val="22"/>
              </w:rPr>
              <w:t>按预期信用损失模型及单项预计信用损失率计提资产减值准备</w:t>
            </w:r>
          </w:p>
        </w:tc>
      </w:tr>
      <w:tr w:rsidR="005B438D" w14:paraId="130791CA" w14:textId="77777777" w:rsidTr="00836F46">
        <w:trPr>
          <w:trHeight w:val="540"/>
        </w:trPr>
        <w:tc>
          <w:tcPr>
            <w:tcW w:w="1045" w:type="pct"/>
            <w:tcBorders>
              <w:top w:val="nil"/>
              <w:left w:val="nil"/>
              <w:bottom w:val="single" w:sz="4" w:space="0" w:color="auto"/>
              <w:right w:val="single" w:sz="4" w:space="0" w:color="auto"/>
            </w:tcBorders>
            <w:vAlign w:val="center"/>
          </w:tcPr>
          <w:p w14:paraId="63D3F378"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其他应收款</w:t>
            </w:r>
          </w:p>
        </w:tc>
        <w:tc>
          <w:tcPr>
            <w:tcW w:w="1205" w:type="pct"/>
            <w:tcBorders>
              <w:top w:val="nil"/>
              <w:left w:val="nil"/>
              <w:bottom w:val="single" w:sz="4" w:space="0" w:color="auto"/>
              <w:right w:val="single" w:sz="4" w:space="0" w:color="auto"/>
            </w:tcBorders>
            <w:vAlign w:val="center"/>
          </w:tcPr>
          <w:p w14:paraId="55303336"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-68.36</w:t>
            </w:r>
          </w:p>
        </w:tc>
        <w:tc>
          <w:tcPr>
            <w:tcW w:w="2750" w:type="pct"/>
            <w:tcBorders>
              <w:top w:val="nil"/>
              <w:left w:val="nil"/>
              <w:bottom w:val="single" w:sz="4" w:space="0" w:color="auto"/>
              <w:right w:val="nil"/>
            </w:tcBorders>
            <w:vAlign w:val="center"/>
          </w:tcPr>
          <w:p w14:paraId="352978AF" w14:textId="77777777" w:rsidR="005B438D" w:rsidRDefault="005B438D" w:rsidP="00836F46">
            <w:pPr>
              <w:rPr>
                <w:color w:val="000000"/>
                <w:sz w:val="22"/>
              </w:rPr>
            </w:pPr>
            <w:r>
              <w:rPr>
                <w:rFonts w:hint="eastAsia"/>
                <w:color w:val="000000"/>
                <w:sz w:val="22"/>
              </w:rPr>
              <w:t>按预期信用损失模型及单项预计信用损失率计提资产减值准备</w:t>
            </w:r>
          </w:p>
        </w:tc>
      </w:tr>
      <w:tr w:rsidR="005B438D" w14:paraId="76EF2E0A" w14:textId="77777777" w:rsidTr="00836F46">
        <w:trPr>
          <w:trHeight w:val="540"/>
        </w:trPr>
        <w:tc>
          <w:tcPr>
            <w:tcW w:w="1045" w:type="pct"/>
            <w:tcBorders>
              <w:top w:val="nil"/>
              <w:left w:val="nil"/>
              <w:bottom w:val="single" w:sz="4" w:space="0" w:color="auto"/>
              <w:right w:val="single" w:sz="4" w:space="0" w:color="auto"/>
            </w:tcBorders>
            <w:vAlign w:val="center"/>
          </w:tcPr>
          <w:p w14:paraId="2470BF69"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应收票据</w:t>
            </w:r>
          </w:p>
        </w:tc>
        <w:tc>
          <w:tcPr>
            <w:tcW w:w="1205" w:type="pct"/>
            <w:tcBorders>
              <w:top w:val="nil"/>
              <w:left w:val="nil"/>
              <w:bottom w:val="single" w:sz="4" w:space="0" w:color="auto"/>
              <w:right w:val="single" w:sz="4" w:space="0" w:color="auto"/>
            </w:tcBorders>
            <w:vAlign w:val="center"/>
          </w:tcPr>
          <w:p w14:paraId="146BEE7F"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2.15</w:t>
            </w:r>
          </w:p>
        </w:tc>
        <w:tc>
          <w:tcPr>
            <w:tcW w:w="2750" w:type="pct"/>
            <w:tcBorders>
              <w:top w:val="nil"/>
              <w:left w:val="nil"/>
              <w:bottom w:val="single" w:sz="4" w:space="0" w:color="auto"/>
              <w:right w:val="nil"/>
            </w:tcBorders>
            <w:vAlign w:val="center"/>
          </w:tcPr>
          <w:p w14:paraId="0BA93F54" w14:textId="77777777" w:rsidR="005B438D" w:rsidRDefault="005B438D" w:rsidP="00836F46">
            <w:pPr>
              <w:rPr>
                <w:color w:val="000000"/>
                <w:sz w:val="22"/>
              </w:rPr>
            </w:pPr>
            <w:r>
              <w:rPr>
                <w:rFonts w:hint="eastAsia"/>
                <w:color w:val="000000"/>
                <w:sz w:val="22"/>
              </w:rPr>
              <w:t>按预期信用损失模型及单项预计信用损失率计提资产减值准备</w:t>
            </w:r>
          </w:p>
        </w:tc>
      </w:tr>
      <w:tr w:rsidR="005B438D" w14:paraId="403E033B" w14:textId="77777777" w:rsidTr="00836F46">
        <w:trPr>
          <w:trHeight w:val="540"/>
        </w:trPr>
        <w:tc>
          <w:tcPr>
            <w:tcW w:w="1045" w:type="pct"/>
            <w:tcBorders>
              <w:top w:val="nil"/>
              <w:left w:val="nil"/>
              <w:bottom w:val="single" w:sz="4" w:space="0" w:color="auto"/>
              <w:right w:val="single" w:sz="4" w:space="0" w:color="auto"/>
            </w:tcBorders>
            <w:vAlign w:val="center"/>
          </w:tcPr>
          <w:p w14:paraId="50C61C22"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存货</w:t>
            </w:r>
          </w:p>
        </w:tc>
        <w:tc>
          <w:tcPr>
            <w:tcW w:w="1205" w:type="pct"/>
            <w:tcBorders>
              <w:top w:val="nil"/>
              <w:left w:val="nil"/>
              <w:bottom w:val="single" w:sz="4" w:space="0" w:color="auto"/>
              <w:right w:val="single" w:sz="4" w:space="0" w:color="auto"/>
            </w:tcBorders>
            <w:vAlign w:val="center"/>
          </w:tcPr>
          <w:p w14:paraId="5B3230C5"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1,866.86</w:t>
            </w:r>
          </w:p>
        </w:tc>
        <w:tc>
          <w:tcPr>
            <w:tcW w:w="2750" w:type="pct"/>
            <w:tcBorders>
              <w:top w:val="nil"/>
              <w:left w:val="nil"/>
              <w:bottom w:val="single" w:sz="4" w:space="0" w:color="auto"/>
              <w:right w:val="nil"/>
            </w:tcBorders>
            <w:vAlign w:val="center"/>
          </w:tcPr>
          <w:p w14:paraId="2F85EF67" w14:textId="77777777" w:rsidR="005B438D" w:rsidRDefault="005B438D" w:rsidP="00836F46">
            <w:pPr>
              <w:rPr>
                <w:color w:val="000000"/>
                <w:sz w:val="22"/>
              </w:rPr>
            </w:pPr>
            <w:r>
              <w:rPr>
                <w:rFonts w:hint="eastAsia"/>
                <w:color w:val="000000"/>
                <w:sz w:val="22"/>
              </w:rPr>
              <w:t>按照成本高于其可变现净值的差额，计提资产减值准备</w:t>
            </w:r>
          </w:p>
        </w:tc>
      </w:tr>
      <w:tr w:rsidR="005B438D" w14:paraId="43CEF156" w14:textId="77777777" w:rsidTr="00836F46">
        <w:trPr>
          <w:trHeight w:val="540"/>
        </w:trPr>
        <w:tc>
          <w:tcPr>
            <w:tcW w:w="1045" w:type="pct"/>
            <w:tcBorders>
              <w:top w:val="nil"/>
              <w:left w:val="nil"/>
              <w:bottom w:val="single" w:sz="4" w:space="0" w:color="auto"/>
              <w:right w:val="single" w:sz="4" w:space="0" w:color="auto"/>
            </w:tcBorders>
            <w:vAlign w:val="center"/>
          </w:tcPr>
          <w:p w14:paraId="260ECCD8"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lastRenderedPageBreak/>
              <w:t>长期股权投资</w:t>
            </w:r>
          </w:p>
        </w:tc>
        <w:tc>
          <w:tcPr>
            <w:tcW w:w="1205" w:type="pct"/>
            <w:tcBorders>
              <w:top w:val="nil"/>
              <w:left w:val="nil"/>
              <w:bottom w:val="single" w:sz="4" w:space="0" w:color="auto"/>
              <w:right w:val="single" w:sz="4" w:space="0" w:color="auto"/>
            </w:tcBorders>
            <w:vAlign w:val="center"/>
          </w:tcPr>
          <w:p w14:paraId="20D54F37"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332.10</w:t>
            </w:r>
          </w:p>
        </w:tc>
        <w:tc>
          <w:tcPr>
            <w:tcW w:w="2750" w:type="pct"/>
            <w:tcBorders>
              <w:top w:val="nil"/>
              <w:left w:val="nil"/>
              <w:bottom w:val="single" w:sz="4" w:space="0" w:color="auto"/>
              <w:right w:val="nil"/>
            </w:tcBorders>
            <w:vAlign w:val="center"/>
          </w:tcPr>
          <w:p w14:paraId="324CB52B" w14:textId="77777777" w:rsidR="005B438D" w:rsidRDefault="005B438D" w:rsidP="00836F46">
            <w:pPr>
              <w:rPr>
                <w:color w:val="000000"/>
                <w:sz w:val="22"/>
              </w:rPr>
            </w:pPr>
            <w:r>
              <w:rPr>
                <w:rFonts w:hint="eastAsia"/>
                <w:color w:val="000000"/>
                <w:sz w:val="22"/>
              </w:rPr>
              <w:t>按照账面净值高于其可回收金额的差额，计提资产减值准备</w:t>
            </w:r>
          </w:p>
        </w:tc>
      </w:tr>
      <w:tr w:rsidR="005B438D" w14:paraId="44B34954" w14:textId="77777777" w:rsidTr="00836F46">
        <w:trPr>
          <w:trHeight w:val="540"/>
        </w:trPr>
        <w:tc>
          <w:tcPr>
            <w:tcW w:w="1045" w:type="pct"/>
            <w:tcBorders>
              <w:top w:val="nil"/>
              <w:left w:val="nil"/>
              <w:bottom w:val="single" w:sz="4" w:space="0" w:color="auto"/>
              <w:right w:val="single" w:sz="4" w:space="0" w:color="auto"/>
            </w:tcBorders>
            <w:vAlign w:val="center"/>
          </w:tcPr>
          <w:p w14:paraId="750D4B5A"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固定资产</w:t>
            </w:r>
          </w:p>
        </w:tc>
        <w:tc>
          <w:tcPr>
            <w:tcW w:w="1205" w:type="pct"/>
            <w:tcBorders>
              <w:top w:val="nil"/>
              <w:left w:val="nil"/>
              <w:bottom w:val="single" w:sz="4" w:space="0" w:color="auto"/>
              <w:right w:val="single" w:sz="4" w:space="0" w:color="auto"/>
            </w:tcBorders>
            <w:vAlign w:val="center"/>
          </w:tcPr>
          <w:p w14:paraId="1A10B71B"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8,816.41</w:t>
            </w:r>
          </w:p>
        </w:tc>
        <w:tc>
          <w:tcPr>
            <w:tcW w:w="2750" w:type="pct"/>
            <w:tcBorders>
              <w:top w:val="nil"/>
              <w:left w:val="nil"/>
              <w:bottom w:val="single" w:sz="4" w:space="0" w:color="auto"/>
              <w:right w:val="nil"/>
            </w:tcBorders>
            <w:vAlign w:val="center"/>
          </w:tcPr>
          <w:p w14:paraId="0E4D4095" w14:textId="77777777" w:rsidR="005B438D" w:rsidRDefault="005B438D" w:rsidP="00836F46">
            <w:pPr>
              <w:rPr>
                <w:color w:val="000000"/>
                <w:sz w:val="22"/>
              </w:rPr>
            </w:pPr>
            <w:r>
              <w:rPr>
                <w:rFonts w:hint="eastAsia"/>
                <w:color w:val="000000"/>
                <w:sz w:val="22"/>
              </w:rPr>
              <w:t>按照可收回金额低于其账面价值的，按其差额计提减值准备。</w:t>
            </w:r>
          </w:p>
        </w:tc>
      </w:tr>
      <w:tr w:rsidR="005B438D" w14:paraId="39D47ACE" w14:textId="77777777" w:rsidTr="00836F46">
        <w:trPr>
          <w:trHeight w:val="540"/>
        </w:trPr>
        <w:tc>
          <w:tcPr>
            <w:tcW w:w="1045" w:type="pct"/>
            <w:tcBorders>
              <w:top w:val="nil"/>
              <w:left w:val="nil"/>
              <w:bottom w:val="single" w:sz="4" w:space="0" w:color="auto"/>
              <w:right w:val="single" w:sz="4" w:space="0" w:color="auto"/>
            </w:tcBorders>
            <w:vAlign w:val="center"/>
          </w:tcPr>
          <w:p w14:paraId="2D10F402"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在建工程</w:t>
            </w:r>
          </w:p>
        </w:tc>
        <w:tc>
          <w:tcPr>
            <w:tcW w:w="1205" w:type="pct"/>
            <w:tcBorders>
              <w:top w:val="nil"/>
              <w:left w:val="nil"/>
              <w:bottom w:val="single" w:sz="4" w:space="0" w:color="auto"/>
              <w:right w:val="single" w:sz="4" w:space="0" w:color="auto"/>
            </w:tcBorders>
            <w:vAlign w:val="center"/>
          </w:tcPr>
          <w:p w14:paraId="7E6DB80E"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9.30</w:t>
            </w:r>
          </w:p>
        </w:tc>
        <w:tc>
          <w:tcPr>
            <w:tcW w:w="2750" w:type="pct"/>
            <w:tcBorders>
              <w:top w:val="nil"/>
              <w:left w:val="nil"/>
              <w:bottom w:val="single" w:sz="4" w:space="0" w:color="auto"/>
              <w:right w:val="nil"/>
            </w:tcBorders>
            <w:vAlign w:val="center"/>
          </w:tcPr>
          <w:p w14:paraId="523AEE4A" w14:textId="77777777" w:rsidR="005B438D" w:rsidRDefault="005B438D" w:rsidP="00836F46">
            <w:pPr>
              <w:rPr>
                <w:color w:val="000000"/>
                <w:sz w:val="22"/>
              </w:rPr>
            </w:pPr>
            <w:r>
              <w:rPr>
                <w:rFonts w:hint="eastAsia"/>
                <w:color w:val="000000"/>
                <w:sz w:val="22"/>
              </w:rPr>
              <w:t>按照可收回金额低于其账面价值的，按其差额计提减值准备。</w:t>
            </w:r>
          </w:p>
        </w:tc>
      </w:tr>
      <w:tr w:rsidR="005B438D" w14:paraId="481211A0" w14:textId="77777777" w:rsidTr="00836F46">
        <w:trPr>
          <w:trHeight w:val="540"/>
        </w:trPr>
        <w:tc>
          <w:tcPr>
            <w:tcW w:w="1045" w:type="pct"/>
            <w:tcBorders>
              <w:top w:val="nil"/>
              <w:left w:val="nil"/>
              <w:bottom w:val="single" w:sz="4" w:space="0" w:color="auto"/>
              <w:right w:val="single" w:sz="4" w:space="0" w:color="auto"/>
            </w:tcBorders>
            <w:vAlign w:val="center"/>
          </w:tcPr>
          <w:p w14:paraId="2777F639"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无形资产</w:t>
            </w:r>
          </w:p>
        </w:tc>
        <w:tc>
          <w:tcPr>
            <w:tcW w:w="1205" w:type="pct"/>
            <w:tcBorders>
              <w:top w:val="nil"/>
              <w:left w:val="nil"/>
              <w:bottom w:val="single" w:sz="4" w:space="0" w:color="auto"/>
              <w:right w:val="single" w:sz="4" w:space="0" w:color="auto"/>
            </w:tcBorders>
            <w:vAlign w:val="center"/>
          </w:tcPr>
          <w:p w14:paraId="402DA3D3"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282.53</w:t>
            </w:r>
          </w:p>
        </w:tc>
        <w:tc>
          <w:tcPr>
            <w:tcW w:w="2750" w:type="pct"/>
            <w:tcBorders>
              <w:top w:val="nil"/>
              <w:left w:val="nil"/>
              <w:bottom w:val="single" w:sz="4" w:space="0" w:color="auto"/>
              <w:right w:val="nil"/>
            </w:tcBorders>
            <w:vAlign w:val="center"/>
          </w:tcPr>
          <w:p w14:paraId="31F2BB8E" w14:textId="77777777" w:rsidR="005B438D" w:rsidRDefault="005B438D" w:rsidP="00836F46">
            <w:pPr>
              <w:rPr>
                <w:color w:val="000000"/>
                <w:sz w:val="22"/>
              </w:rPr>
            </w:pPr>
            <w:r>
              <w:rPr>
                <w:rFonts w:hint="eastAsia"/>
                <w:color w:val="000000"/>
                <w:sz w:val="22"/>
              </w:rPr>
              <w:t>按照可收回金额低于其账面价值的，按其差额计提减值准备。</w:t>
            </w:r>
          </w:p>
        </w:tc>
      </w:tr>
      <w:tr w:rsidR="005B438D" w14:paraId="21DFE876" w14:textId="77777777" w:rsidTr="00836F46">
        <w:trPr>
          <w:trHeight w:val="540"/>
        </w:trPr>
        <w:tc>
          <w:tcPr>
            <w:tcW w:w="1045" w:type="pct"/>
            <w:tcBorders>
              <w:top w:val="nil"/>
              <w:left w:val="nil"/>
              <w:bottom w:val="single" w:sz="4" w:space="0" w:color="auto"/>
              <w:right w:val="single" w:sz="4" w:space="0" w:color="auto"/>
            </w:tcBorders>
            <w:vAlign w:val="center"/>
          </w:tcPr>
          <w:p w14:paraId="783AF532" w14:textId="77777777" w:rsidR="005B438D" w:rsidRPr="00830305" w:rsidRDefault="005B438D" w:rsidP="00836F46">
            <w:pPr>
              <w:jc w:val="left"/>
              <w:rPr>
                <w:rFonts w:ascii="宋体" w:hAnsi="宋体" w:hint="eastAsia"/>
                <w:color w:val="000000"/>
                <w:sz w:val="22"/>
              </w:rPr>
            </w:pPr>
            <w:r w:rsidRPr="00830305">
              <w:rPr>
                <w:rFonts w:ascii="宋体" w:hAnsi="宋体" w:hint="eastAsia"/>
                <w:color w:val="000000"/>
                <w:sz w:val="22"/>
              </w:rPr>
              <w:t>商誉</w:t>
            </w:r>
          </w:p>
        </w:tc>
        <w:tc>
          <w:tcPr>
            <w:tcW w:w="1205" w:type="pct"/>
            <w:tcBorders>
              <w:top w:val="nil"/>
              <w:left w:val="nil"/>
              <w:bottom w:val="single" w:sz="4" w:space="0" w:color="auto"/>
              <w:right w:val="single" w:sz="4" w:space="0" w:color="auto"/>
            </w:tcBorders>
            <w:vAlign w:val="center"/>
          </w:tcPr>
          <w:p w14:paraId="08DD89B6" w14:textId="77777777" w:rsidR="005B438D" w:rsidRPr="00830305" w:rsidRDefault="005B438D" w:rsidP="00836F46">
            <w:pPr>
              <w:widowControl/>
              <w:jc w:val="right"/>
              <w:rPr>
                <w:rFonts w:ascii="宋体" w:hAnsi="宋体" w:hint="eastAsia"/>
                <w:color w:val="000000"/>
                <w:sz w:val="22"/>
              </w:rPr>
            </w:pPr>
            <w:r w:rsidRPr="004C01C6">
              <w:rPr>
                <w:rFonts w:ascii="宋体" w:hAnsi="宋体"/>
                <w:color w:val="000000"/>
                <w:sz w:val="22"/>
              </w:rPr>
              <w:t>30,555.20</w:t>
            </w:r>
          </w:p>
        </w:tc>
        <w:tc>
          <w:tcPr>
            <w:tcW w:w="2750" w:type="pct"/>
            <w:tcBorders>
              <w:top w:val="nil"/>
              <w:left w:val="nil"/>
              <w:bottom w:val="single" w:sz="4" w:space="0" w:color="auto"/>
              <w:right w:val="nil"/>
            </w:tcBorders>
            <w:vAlign w:val="center"/>
          </w:tcPr>
          <w:p w14:paraId="35F8B90D" w14:textId="77777777" w:rsidR="005B438D" w:rsidRDefault="005B438D" w:rsidP="00836F46">
            <w:pPr>
              <w:rPr>
                <w:color w:val="000000"/>
                <w:sz w:val="22"/>
              </w:rPr>
            </w:pPr>
            <w:r>
              <w:rPr>
                <w:rFonts w:hint="eastAsia"/>
                <w:color w:val="000000"/>
                <w:sz w:val="22"/>
              </w:rPr>
              <w:t>将商誉的账面价值分摊至预期从企业合并的协同效应中受益的资产组或资产组组合。测试结果表明包含分摊的商誉的资产组或资产组组合的可收回金额低于其账面价值的，确认相应的减值损失。</w:t>
            </w:r>
          </w:p>
        </w:tc>
      </w:tr>
      <w:tr w:rsidR="005B438D" w14:paraId="365CB0B9" w14:textId="77777777" w:rsidTr="00836F46">
        <w:trPr>
          <w:trHeight w:val="433"/>
        </w:trPr>
        <w:tc>
          <w:tcPr>
            <w:tcW w:w="1045" w:type="pct"/>
            <w:tcBorders>
              <w:top w:val="nil"/>
              <w:left w:val="nil"/>
              <w:bottom w:val="double" w:sz="6" w:space="0" w:color="auto"/>
              <w:right w:val="single" w:sz="4" w:space="0" w:color="auto"/>
            </w:tcBorders>
            <w:vAlign w:val="center"/>
          </w:tcPr>
          <w:p w14:paraId="25E5CE4F" w14:textId="77777777" w:rsidR="005B438D" w:rsidRPr="00ED0682" w:rsidRDefault="005B438D" w:rsidP="00836F46">
            <w:pPr>
              <w:jc w:val="left"/>
              <w:rPr>
                <w:rFonts w:ascii="宋体" w:hAnsi="宋体" w:hint="eastAsia"/>
                <w:b/>
                <w:color w:val="000000"/>
                <w:sz w:val="22"/>
              </w:rPr>
            </w:pPr>
            <w:r w:rsidRPr="00ED0682">
              <w:rPr>
                <w:rFonts w:ascii="宋体" w:hAnsi="宋体" w:hint="eastAsia"/>
                <w:b/>
                <w:color w:val="000000"/>
                <w:sz w:val="22"/>
              </w:rPr>
              <w:t>合计</w:t>
            </w:r>
          </w:p>
        </w:tc>
        <w:tc>
          <w:tcPr>
            <w:tcW w:w="1205" w:type="pct"/>
            <w:tcBorders>
              <w:top w:val="nil"/>
              <w:left w:val="nil"/>
              <w:bottom w:val="double" w:sz="6" w:space="0" w:color="auto"/>
              <w:right w:val="single" w:sz="4" w:space="0" w:color="auto"/>
            </w:tcBorders>
            <w:vAlign w:val="center"/>
          </w:tcPr>
          <w:p w14:paraId="7C288590" w14:textId="77777777" w:rsidR="005B438D" w:rsidRPr="00D54F1D" w:rsidRDefault="005B438D" w:rsidP="00836F46">
            <w:pPr>
              <w:widowControl/>
              <w:jc w:val="right"/>
              <w:rPr>
                <w:rFonts w:ascii="宋体" w:hAnsi="宋体" w:hint="eastAsia"/>
                <w:b/>
                <w:color w:val="000000"/>
                <w:kern w:val="0"/>
                <w:sz w:val="22"/>
              </w:rPr>
            </w:pPr>
            <w:r w:rsidRPr="004C01C6">
              <w:rPr>
                <w:rFonts w:ascii="宋体" w:hAnsi="宋体"/>
                <w:b/>
                <w:color w:val="000000"/>
                <w:sz w:val="22"/>
              </w:rPr>
              <w:t>45,406.43</w:t>
            </w:r>
          </w:p>
        </w:tc>
        <w:tc>
          <w:tcPr>
            <w:tcW w:w="2750" w:type="pct"/>
            <w:tcBorders>
              <w:top w:val="nil"/>
              <w:left w:val="nil"/>
              <w:bottom w:val="double" w:sz="6" w:space="0" w:color="auto"/>
              <w:right w:val="nil"/>
            </w:tcBorders>
            <w:vAlign w:val="center"/>
          </w:tcPr>
          <w:p w14:paraId="3998CF7D" w14:textId="77777777" w:rsidR="005B438D" w:rsidRPr="00D54F1D" w:rsidRDefault="005B438D" w:rsidP="00836F46">
            <w:pPr>
              <w:widowControl/>
              <w:jc w:val="left"/>
              <w:rPr>
                <w:rFonts w:ascii="宋体" w:hAnsi="宋体" w:cs="宋体" w:hint="eastAsia"/>
                <w:b/>
                <w:color w:val="000000"/>
                <w:kern w:val="0"/>
                <w:sz w:val="22"/>
              </w:rPr>
            </w:pPr>
            <w:r w:rsidRPr="00D54F1D">
              <w:rPr>
                <w:rFonts w:ascii="宋体" w:hAnsi="宋体" w:cs="宋体" w:hint="eastAsia"/>
                <w:b/>
                <w:color w:val="000000"/>
                <w:kern w:val="0"/>
                <w:sz w:val="22"/>
              </w:rPr>
              <w:t xml:space="preserve">　</w:t>
            </w:r>
          </w:p>
        </w:tc>
      </w:tr>
    </w:tbl>
    <w:p w14:paraId="1CF47988" w14:textId="77777777" w:rsidR="005B438D"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b/>
          <w:sz w:val="24"/>
          <w:szCs w:val="32"/>
        </w:rPr>
        <w:t>三、对资产计提减值准备金额较大的情况说明</w:t>
      </w:r>
    </w:p>
    <w:p w14:paraId="69E72574"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1、应收款项计提坏账准备说明</w:t>
      </w:r>
    </w:p>
    <w:p w14:paraId="6394C52E"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公司以预期信用损失为基础，</w:t>
      </w:r>
      <w:proofErr w:type="gramStart"/>
      <w:r>
        <w:rPr>
          <w:rFonts w:ascii="宋体" w:hAnsi="宋体" w:hint="eastAsia"/>
          <w:sz w:val="24"/>
        </w:rPr>
        <w:t>对</w:t>
      </w:r>
      <w:r w:rsidRPr="00E92885">
        <w:rPr>
          <w:rFonts w:ascii="宋体" w:hAnsi="宋体" w:hint="eastAsia"/>
          <w:sz w:val="24"/>
        </w:rPr>
        <w:t>摊余成本</w:t>
      </w:r>
      <w:proofErr w:type="gramEnd"/>
      <w:r w:rsidRPr="00E92885">
        <w:rPr>
          <w:rFonts w:ascii="宋体" w:hAnsi="宋体" w:hint="eastAsia"/>
          <w:sz w:val="24"/>
        </w:rPr>
        <w:t>计量的金融资产、以公允价值计量且其变动计入其他综合收益的债务工具、租赁应收款，主要包括应收票据、应收账款、应收款项融资、其他应收款、长期应收款等。此外，对合同资产及部分财务担</w:t>
      </w:r>
      <w:r>
        <w:rPr>
          <w:rFonts w:ascii="宋体" w:hAnsi="宋体" w:hint="eastAsia"/>
          <w:sz w:val="24"/>
        </w:rPr>
        <w:t>保合同，也按照本部分所述会计政策计提减值准备和确认信用减值损失。</w:t>
      </w:r>
    </w:p>
    <w:p w14:paraId="5D5D6115"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对上述各项</w:t>
      </w:r>
      <w:proofErr w:type="gramStart"/>
      <w:r>
        <w:rPr>
          <w:rFonts w:ascii="宋体" w:hAnsi="宋体" w:hint="eastAsia"/>
          <w:sz w:val="24"/>
        </w:rPr>
        <w:t>目按照</w:t>
      </w:r>
      <w:proofErr w:type="gramEnd"/>
      <w:r>
        <w:rPr>
          <w:rFonts w:ascii="宋体" w:hAnsi="宋体" w:hint="eastAsia"/>
          <w:sz w:val="24"/>
        </w:rPr>
        <w:t>其适用的预期信用损失计量方法（一般方法或简化方法）计提减值准备并确认信用减值损失。对于在资产负债表</w:t>
      </w:r>
      <w:proofErr w:type="gramStart"/>
      <w:r>
        <w:rPr>
          <w:rFonts w:ascii="宋体" w:hAnsi="宋体" w:hint="eastAsia"/>
          <w:sz w:val="24"/>
        </w:rPr>
        <w:t>日具有</w:t>
      </w:r>
      <w:proofErr w:type="gramEnd"/>
      <w:r>
        <w:rPr>
          <w:rFonts w:ascii="宋体" w:hAnsi="宋体" w:hint="eastAsia"/>
          <w:sz w:val="24"/>
        </w:rPr>
        <w:t>较低信用风险的金融工具，公司依据其信用风险自初始确认后是否已显著增加，而采用未来12月内或者整个存续期内预期信用损失金额为基础计量损失准备。公司对信用风险显著不同的金融资产单项评价信用风险。除了单项评估信用风险的金融资产外，公司基于共同风险特征将金融资产划分为不同的组别，在组合的基础上评估信用风险。</w:t>
      </w:r>
    </w:p>
    <w:p w14:paraId="626247A1"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对</w:t>
      </w:r>
      <w:r w:rsidRPr="00E92885">
        <w:rPr>
          <w:rFonts w:ascii="宋体" w:hAnsi="宋体" w:hint="eastAsia"/>
          <w:sz w:val="24"/>
        </w:rPr>
        <w:t>各类金融资产信用损失的确定方法</w:t>
      </w:r>
      <w:r>
        <w:rPr>
          <w:rFonts w:ascii="宋体" w:hAnsi="宋体" w:hint="eastAsia"/>
          <w:sz w:val="24"/>
        </w:rPr>
        <w:t>：</w:t>
      </w:r>
    </w:p>
    <w:p w14:paraId="6F62E5FE" w14:textId="77777777" w:rsidR="005B438D" w:rsidRPr="00E92885" w:rsidRDefault="005B438D" w:rsidP="005B438D">
      <w:pPr>
        <w:spacing w:line="460" w:lineRule="atLeast"/>
        <w:ind w:firstLineChars="200" w:firstLine="480"/>
        <w:jc w:val="left"/>
        <w:rPr>
          <w:rFonts w:ascii="宋体" w:hAnsi="宋体" w:hint="eastAsia"/>
          <w:sz w:val="24"/>
          <w:szCs w:val="24"/>
        </w:rPr>
      </w:pPr>
      <w:r w:rsidRPr="00E92885">
        <w:rPr>
          <w:rFonts w:ascii="宋体" w:hAnsi="宋体"/>
          <w:sz w:val="24"/>
          <w:szCs w:val="24"/>
        </w:rPr>
        <w:fldChar w:fldCharType="begin"/>
      </w:r>
      <w:r w:rsidRPr="00E92885">
        <w:rPr>
          <w:rFonts w:ascii="宋体" w:hAnsi="宋体"/>
          <w:sz w:val="24"/>
          <w:szCs w:val="24"/>
        </w:rPr>
        <w:instrText xml:space="preserve"> = 1 \* GB3 </w:instrText>
      </w:r>
      <w:r w:rsidRPr="00E92885">
        <w:rPr>
          <w:rFonts w:ascii="宋体" w:hAnsi="宋体"/>
          <w:sz w:val="24"/>
          <w:szCs w:val="24"/>
        </w:rPr>
        <w:fldChar w:fldCharType="separate"/>
      </w:r>
      <w:r w:rsidRPr="00E92885">
        <w:rPr>
          <w:rFonts w:ascii="宋体" w:hAnsi="宋体" w:hint="eastAsia"/>
          <w:sz w:val="24"/>
          <w:szCs w:val="24"/>
        </w:rPr>
        <w:t>①</w:t>
      </w:r>
      <w:r w:rsidRPr="00E92885">
        <w:rPr>
          <w:rFonts w:ascii="宋体" w:hAnsi="宋体"/>
          <w:sz w:val="24"/>
          <w:szCs w:val="24"/>
        </w:rPr>
        <w:fldChar w:fldCharType="end"/>
      </w:r>
      <w:r w:rsidRPr="00E92885">
        <w:rPr>
          <w:rFonts w:ascii="宋体" w:hAnsi="宋体"/>
          <w:sz w:val="24"/>
          <w:szCs w:val="24"/>
        </w:rPr>
        <w:t>应收票据</w:t>
      </w:r>
    </w:p>
    <w:p w14:paraId="401E40CD" w14:textId="77777777" w:rsidR="005B438D" w:rsidRPr="00E92885" w:rsidRDefault="005B438D" w:rsidP="005B438D">
      <w:pPr>
        <w:spacing w:line="460" w:lineRule="atLeast"/>
        <w:ind w:firstLineChars="200" w:firstLine="480"/>
        <w:rPr>
          <w:rFonts w:ascii="宋体" w:hAnsi="宋体" w:hint="eastAsia"/>
          <w:color w:val="000000"/>
          <w:sz w:val="24"/>
          <w:szCs w:val="24"/>
        </w:rPr>
      </w:pPr>
      <w:r w:rsidRPr="00E92885">
        <w:rPr>
          <w:rFonts w:ascii="宋体" w:hAnsi="宋体" w:hint="eastAsia"/>
          <w:sz w:val="24"/>
          <w:szCs w:val="24"/>
        </w:rPr>
        <w:t>公司</w:t>
      </w:r>
      <w:r w:rsidRPr="00E92885">
        <w:rPr>
          <w:rFonts w:ascii="宋体" w:hAnsi="宋体"/>
          <w:sz w:val="24"/>
          <w:szCs w:val="24"/>
        </w:rPr>
        <w:t>对于应收票据</w:t>
      </w:r>
      <w:r w:rsidRPr="00E92885">
        <w:rPr>
          <w:rFonts w:ascii="宋体" w:hAnsi="宋体"/>
          <w:color w:val="000000"/>
          <w:sz w:val="24"/>
          <w:szCs w:val="24"/>
        </w:rPr>
        <w:t>按照相当于整个存续期内的预期信用损失金额计量损失准备。基于应收票据的信用风险特征，将其划分为不同组合：</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648"/>
        <w:gridCol w:w="6658"/>
      </w:tblGrid>
      <w:tr w:rsidR="005B438D" w:rsidRPr="00E92885" w14:paraId="2857D4F1" w14:textId="77777777" w:rsidTr="00836F46">
        <w:trPr>
          <w:trHeight w:val="397"/>
        </w:trPr>
        <w:tc>
          <w:tcPr>
            <w:tcW w:w="978" w:type="pct"/>
            <w:vAlign w:val="center"/>
          </w:tcPr>
          <w:p w14:paraId="63A8D84E" w14:textId="77777777" w:rsidR="005B438D" w:rsidRPr="00E92885" w:rsidRDefault="005B438D" w:rsidP="00836F46">
            <w:pPr>
              <w:autoSpaceDE w:val="0"/>
              <w:autoSpaceDN w:val="0"/>
              <w:adjustRightInd w:val="0"/>
              <w:jc w:val="center"/>
              <w:rPr>
                <w:rFonts w:ascii="宋体" w:hAnsi="宋体" w:hint="eastAsia"/>
                <w:kern w:val="0"/>
                <w:sz w:val="24"/>
                <w:szCs w:val="24"/>
              </w:rPr>
            </w:pPr>
            <w:r w:rsidRPr="00E92885">
              <w:rPr>
                <w:rFonts w:ascii="宋体" w:hAnsi="宋体"/>
                <w:kern w:val="0"/>
                <w:sz w:val="24"/>
                <w:szCs w:val="24"/>
              </w:rPr>
              <w:t>项  目</w:t>
            </w:r>
          </w:p>
        </w:tc>
        <w:tc>
          <w:tcPr>
            <w:tcW w:w="4022" w:type="pct"/>
            <w:vAlign w:val="center"/>
          </w:tcPr>
          <w:p w14:paraId="5F7F0E63" w14:textId="77777777" w:rsidR="005B438D" w:rsidRPr="00E92885" w:rsidRDefault="005B438D" w:rsidP="00836F46">
            <w:pPr>
              <w:autoSpaceDE w:val="0"/>
              <w:autoSpaceDN w:val="0"/>
              <w:adjustRightInd w:val="0"/>
              <w:jc w:val="center"/>
              <w:rPr>
                <w:rFonts w:ascii="宋体" w:hAnsi="宋体" w:hint="eastAsia"/>
                <w:kern w:val="0"/>
                <w:sz w:val="24"/>
                <w:szCs w:val="24"/>
              </w:rPr>
            </w:pPr>
            <w:r w:rsidRPr="00E92885">
              <w:rPr>
                <w:rFonts w:ascii="宋体" w:hAnsi="宋体"/>
                <w:kern w:val="0"/>
                <w:sz w:val="24"/>
                <w:szCs w:val="24"/>
              </w:rPr>
              <w:t>确定组合的依据</w:t>
            </w:r>
          </w:p>
        </w:tc>
      </w:tr>
      <w:tr w:rsidR="005B438D" w:rsidRPr="00E92885" w14:paraId="7D6E5194" w14:textId="77777777" w:rsidTr="00836F46">
        <w:trPr>
          <w:trHeight w:val="397"/>
        </w:trPr>
        <w:tc>
          <w:tcPr>
            <w:tcW w:w="978" w:type="pct"/>
            <w:noWrap/>
            <w:vAlign w:val="center"/>
          </w:tcPr>
          <w:p w14:paraId="4C90E762" w14:textId="77777777" w:rsidR="005B438D" w:rsidRPr="00E92885" w:rsidRDefault="005B438D" w:rsidP="00836F46">
            <w:pPr>
              <w:autoSpaceDE w:val="0"/>
              <w:autoSpaceDN w:val="0"/>
              <w:adjustRightInd w:val="0"/>
              <w:rPr>
                <w:rFonts w:ascii="宋体" w:hAnsi="宋体" w:hint="eastAsia"/>
                <w:kern w:val="0"/>
                <w:sz w:val="24"/>
                <w:szCs w:val="24"/>
              </w:rPr>
            </w:pPr>
            <w:r w:rsidRPr="00E92885">
              <w:rPr>
                <w:rFonts w:ascii="宋体" w:hAnsi="宋体"/>
                <w:kern w:val="0"/>
                <w:sz w:val="24"/>
                <w:szCs w:val="24"/>
              </w:rPr>
              <w:t>银行承兑汇</w:t>
            </w:r>
            <w:r w:rsidRPr="00E92885">
              <w:rPr>
                <w:rFonts w:ascii="宋体" w:hAnsi="宋体"/>
                <w:kern w:val="0"/>
                <w:sz w:val="24"/>
                <w:szCs w:val="24"/>
              </w:rPr>
              <w:lastRenderedPageBreak/>
              <w:t>票</w:t>
            </w:r>
          </w:p>
        </w:tc>
        <w:tc>
          <w:tcPr>
            <w:tcW w:w="4022" w:type="pct"/>
            <w:noWrap/>
            <w:vAlign w:val="center"/>
          </w:tcPr>
          <w:p w14:paraId="6E097F87" w14:textId="77777777" w:rsidR="005B438D" w:rsidRPr="00E92885" w:rsidRDefault="005B438D" w:rsidP="00836F46">
            <w:pPr>
              <w:autoSpaceDE w:val="0"/>
              <w:autoSpaceDN w:val="0"/>
              <w:adjustRightInd w:val="0"/>
              <w:rPr>
                <w:rFonts w:ascii="宋体" w:hAnsi="宋体" w:hint="eastAsia"/>
                <w:kern w:val="0"/>
                <w:sz w:val="24"/>
                <w:szCs w:val="24"/>
              </w:rPr>
            </w:pPr>
            <w:r w:rsidRPr="00E92885">
              <w:rPr>
                <w:rFonts w:ascii="宋体" w:hAnsi="宋体"/>
                <w:kern w:val="0"/>
                <w:sz w:val="24"/>
                <w:szCs w:val="24"/>
              </w:rPr>
              <w:lastRenderedPageBreak/>
              <w:t>承兑人为信用风险较小的银行</w:t>
            </w:r>
          </w:p>
        </w:tc>
      </w:tr>
      <w:tr w:rsidR="005B438D" w:rsidRPr="00E92885" w14:paraId="54120C37" w14:textId="77777777" w:rsidTr="00836F46">
        <w:trPr>
          <w:trHeight w:val="397"/>
        </w:trPr>
        <w:tc>
          <w:tcPr>
            <w:tcW w:w="978" w:type="pct"/>
            <w:noWrap/>
            <w:vAlign w:val="center"/>
          </w:tcPr>
          <w:p w14:paraId="0C3C9E91" w14:textId="77777777" w:rsidR="005B438D" w:rsidRPr="00E92885" w:rsidRDefault="005B438D" w:rsidP="00836F46">
            <w:pPr>
              <w:autoSpaceDE w:val="0"/>
              <w:autoSpaceDN w:val="0"/>
              <w:adjustRightInd w:val="0"/>
              <w:rPr>
                <w:rFonts w:ascii="宋体" w:hAnsi="宋体" w:hint="eastAsia"/>
                <w:kern w:val="0"/>
                <w:sz w:val="24"/>
                <w:szCs w:val="24"/>
              </w:rPr>
            </w:pPr>
            <w:r w:rsidRPr="00E92885">
              <w:rPr>
                <w:rFonts w:ascii="宋体" w:hAnsi="宋体"/>
                <w:kern w:val="0"/>
                <w:sz w:val="24"/>
                <w:szCs w:val="24"/>
              </w:rPr>
              <w:t>商业承兑汇票</w:t>
            </w:r>
          </w:p>
        </w:tc>
        <w:tc>
          <w:tcPr>
            <w:tcW w:w="4022" w:type="pct"/>
            <w:noWrap/>
            <w:vAlign w:val="center"/>
          </w:tcPr>
          <w:p w14:paraId="0C9BE7A3" w14:textId="77777777" w:rsidR="005B438D" w:rsidRPr="00E92885" w:rsidRDefault="005B438D" w:rsidP="00836F46">
            <w:pPr>
              <w:autoSpaceDE w:val="0"/>
              <w:autoSpaceDN w:val="0"/>
              <w:adjustRightInd w:val="0"/>
              <w:rPr>
                <w:rFonts w:ascii="宋体" w:hAnsi="宋体" w:hint="eastAsia"/>
                <w:kern w:val="0"/>
                <w:sz w:val="24"/>
                <w:szCs w:val="24"/>
              </w:rPr>
            </w:pPr>
            <w:r w:rsidRPr="00E92885">
              <w:rPr>
                <w:rFonts w:ascii="宋体" w:hAnsi="宋体"/>
                <w:kern w:val="0"/>
                <w:sz w:val="24"/>
                <w:szCs w:val="24"/>
              </w:rPr>
              <w:t>根据承兑人的信用风险划分，应与“应收账款”组合划分相同</w:t>
            </w:r>
          </w:p>
        </w:tc>
      </w:tr>
    </w:tbl>
    <w:p w14:paraId="536B7611" w14:textId="77777777" w:rsidR="005B438D" w:rsidRPr="00E92885" w:rsidRDefault="005B438D" w:rsidP="005B438D">
      <w:pPr>
        <w:spacing w:line="460" w:lineRule="atLeast"/>
        <w:ind w:firstLineChars="200" w:firstLine="480"/>
        <w:rPr>
          <w:rFonts w:ascii="宋体" w:hAnsi="宋体" w:hint="eastAsia"/>
          <w:color w:val="000000"/>
          <w:sz w:val="24"/>
          <w:szCs w:val="24"/>
        </w:rPr>
      </w:pPr>
      <w:r w:rsidRPr="00E92885">
        <w:rPr>
          <w:rFonts w:ascii="宋体" w:hAnsi="宋体"/>
          <w:color w:val="000000"/>
          <w:sz w:val="24"/>
          <w:szCs w:val="24"/>
        </w:rPr>
        <w:fldChar w:fldCharType="begin"/>
      </w:r>
      <w:r w:rsidRPr="00E92885">
        <w:rPr>
          <w:rFonts w:ascii="宋体" w:hAnsi="宋体"/>
          <w:color w:val="000000"/>
          <w:sz w:val="24"/>
          <w:szCs w:val="24"/>
        </w:rPr>
        <w:instrText xml:space="preserve"> = 2 \* GB3 </w:instrText>
      </w:r>
      <w:r w:rsidRPr="00E92885">
        <w:rPr>
          <w:rFonts w:ascii="宋体" w:hAnsi="宋体"/>
          <w:color w:val="000000"/>
          <w:sz w:val="24"/>
          <w:szCs w:val="24"/>
        </w:rPr>
        <w:fldChar w:fldCharType="separate"/>
      </w:r>
      <w:r w:rsidRPr="00E92885">
        <w:rPr>
          <w:rFonts w:ascii="宋体" w:hAnsi="宋体" w:hint="eastAsia"/>
          <w:color w:val="000000"/>
          <w:sz w:val="24"/>
          <w:szCs w:val="24"/>
        </w:rPr>
        <w:t>②</w:t>
      </w:r>
      <w:r w:rsidRPr="00E92885">
        <w:rPr>
          <w:rFonts w:ascii="宋体" w:hAnsi="宋体"/>
          <w:color w:val="000000"/>
          <w:sz w:val="24"/>
          <w:szCs w:val="24"/>
        </w:rPr>
        <w:fldChar w:fldCharType="end"/>
      </w:r>
      <w:r w:rsidRPr="00E92885">
        <w:rPr>
          <w:rFonts w:ascii="宋体" w:hAnsi="宋体"/>
          <w:color w:val="000000"/>
          <w:sz w:val="24"/>
          <w:szCs w:val="24"/>
        </w:rPr>
        <w:t>应收账款</w:t>
      </w:r>
      <w:r w:rsidRPr="00E92885">
        <w:rPr>
          <w:rFonts w:ascii="宋体" w:hAnsi="宋体"/>
          <w:sz w:val="24"/>
          <w:szCs w:val="24"/>
        </w:rPr>
        <w:t>及合同资产</w:t>
      </w:r>
    </w:p>
    <w:p w14:paraId="5C9D4D14" w14:textId="77777777" w:rsidR="005B438D" w:rsidRPr="00E92885" w:rsidRDefault="005B438D" w:rsidP="005B438D">
      <w:pPr>
        <w:spacing w:line="460" w:lineRule="atLeast"/>
        <w:ind w:firstLineChars="200" w:firstLine="480"/>
        <w:rPr>
          <w:rFonts w:ascii="宋体" w:hAnsi="宋体" w:hint="eastAsia"/>
          <w:color w:val="000000"/>
          <w:sz w:val="24"/>
          <w:szCs w:val="24"/>
        </w:rPr>
      </w:pPr>
      <w:r w:rsidRPr="00E92885">
        <w:rPr>
          <w:rFonts w:ascii="宋体" w:hAnsi="宋体"/>
          <w:color w:val="000000"/>
          <w:sz w:val="24"/>
          <w:szCs w:val="24"/>
        </w:rPr>
        <w:t>对于不含重大融资成分的应收</w:t>
      </w:r>
      <w:r w:rsidRPr="00E92885">
        <w:rPr>
          <w:rFonts w:ascii="宋体" w:hAnsi="宋体" w:hint="eastAsia"/>
          <w:color w:val="000000"/>
          <w:sz w:val="24"/>
          <w:szCs w:val="24"/>
        </w:rPr>
        <w:t>账</w:t>
      </w:r>
      <w:r w:rsidRPr="00E92885">
        <w:rPr>
          <w:rFonts w:ascii="宋体" w:hAnsi="宋体"/>
          <w:color w:val="000000"/>
          <w:sz w:val="24"/>
          <w:szCs w:val="24"/>
        </w:rPr>
        <w:t>款</w:t>
      </w:r>
      <w:r w:rsidRPr="00E92885">
        <w:rPr>
          <w:rFonts w:ascii="宋体" w:hAnsi="宋体"/>
          <w:sz w:val="24"/>
          <w:szCs w:val="24"/>
        </w:rPr>
        <w:t>和合同资产</w:t>
      </w:r>
      <w:r w:rsidRPr="00E92885">
        <w:rPr>
          <w:rFonts w:ascii="宋体" w:hAnsi="宋体"/>
          <w:color w:val="000000"/>
          <w:sz w:val="24"/>
          <w:szCs w:val="24"/>
        </w:rPr>
        <w:t>，</w:t>
      </w:r>
      <w:r w:rsidRPr="00E92885">
        <w:rPr>
          <w:rFonts w:ascii="宋体" w:hAnsi="宋体" w:hint="eastAsia"/>
          <w:color w:val="000000"/>
          <w:sz w:val="24"/>
          <w:szCs w:val="24"/>
        </w:rPr>
        <w:t>公司</w:t>
      </w:r>
      <w:r w:rsidRPr="00E92885">
        <w:rPr>
          <w:rFonts w:ascii="宋体" w:hAnsi="宋体"/>
          <w:color w:val="000000"/>
          <w:sz w:val="24"/>
          <w:szCs w:val="24"/>
        </w:rPr>
        <w:t>按照相当于整个存续期内的预期信用损失金额计量损失准备。</w:t>
      </w:r>
    </w:p>
    <w:p w14:paraId="19A2EF7B" w14:textId="77777777" w:rsidR="005B438D" w:rsidRPr="00E92885" w:rsidRDefault="005B438D" w:rsidP="005B438D">
      <w:pPr>
        <w:spacing w:line="460" w:lineRule="atLeast"/>
        <w:ind w:firstLineChars="200" w:firstLine="480"/>
        <w:rPr>
          <w:rFonts w:ascii="宋体" w:hAnsi="宋体" w:hint="eastAsia"/>
          <w:sz w:val="24"/>
          <w:szCs w:val="24"/>
        </w:rPr>
      </w:pPr>
      <w:r w:rsidRPr="00E92885">
        <w:rPr>
          <w:rFonts w:ascii="宋体" w:hAnsi="宋体"/>
          <w:color w:val="000000"/>
          <w:sz w:val="24"/>
          <w:szCs w:val="24"/>
        </w:rPr>
        <w:t>对于包含重大融资成分的应收</w:t>
      </w:r>
      <w:r w:rsidRPr="00E92885">
        <w:rPr>
          <w:rFonts w:ascii="宋体" w:hAnsi="宋体" w:hint="eastAsia"/>
          <w:color w:val="000000"/>
          <w:sz w:val="24"/>
          <w:szCs w:val="24"/>
        </w:rPr>
        <w:t>账</w:t>
      </w:r>
      <w:r w:rsidRPr="00E92885">
        <w:rPr>
          <w:rFonts w:ascii="宋体" w:hAnsi="宋体"/>
          <w:color w:val="000000"/>
          <w:sz w:val="24"/>
          <w:szCs w:val="24"/>
        </w:rPr>
        <w:t>款</w:t>
      </w:r>
      <w:r w:rsidRPr="00E92885">
        <w:rPr>
          <w:rFonts w:ascii="宋体" w:hAnsi="宋体"/>
          <w:sz w:val="24"/>
          <w:szCs w:val="24"/>
        </w:rPr>
        <w:t>、合同资产</w:t>
      </w:r>
      <w:r w:rsidRPr="00E92885">
        <w:rPr>
          <w:rFonts w:ascii="宋体" w:hAnsi="宋体"/>
          <w:color w:val="000000"/>
          <w:sz w:val="24"/>
          <w:szCs w:val="24"/>
        </w:rPr>
        <w:t>和租赁应收款，</w:t>
      </w:r>
      <w:r w:rsidRPr="00E92885">
        <w:rPr>
          <w:rFonts w:ascii="宋体" w:hAnsi="宋体" w:hint="eastAsia"/>
          <w:color w:val="000000"/>
          <w:sz w:val="24"/>
          <w:szCs w:val="24"/>
        </w:rPr>
        <w:t>公司</w:t>
      </w:r>
      <w:r w:rsidRPr="00E92885">
        <w:rPr>
          <w:rFonts w:ascii="宋体" w:hAnsi="宋体"/>
          <w:sz w:val="24"/>
          <w:szCs w:val="24"/>
        </w:rPr>
        <w:t>选择始终按照相当于存续期内预期信用损失的金额计量损失准备。</w:t>
      </w:r>
    </w:p>
    <w:p w14:paraId="1AC9F4CA" w14:textId="77777777" w:rsidR="005B438D" w:rsidRPr="00E92885" w:rsidRDefault="005B438D" w:rsidP="005B438D">
      <w:pPr>
        <w:spacing w:line="460" w:lineRule="atLeast"/>
        <w:ind w:firstLineChars="200" w:firstLine="480"/>
        <w:rPr>
          <w:rFonts w:ascii="宋体" w:hAnsi="宋体" w:hint="eastAsia"/>
          <w:color w:val="000000"/>
          <w:sz w:val="24"/>
          <w:szCs w:val="24"/>
        </w:rPr>
      </w:pPr>
      <w:r w:rsidRPr="00E92885">
        <w:rPr>
          <w:rFonts w:ascii="宋体" w:hAnsi="宋体"/>
          <w:bCs/>
          <w:sz w:val="24"/>
          <w:szCs w:val="24"/>
        </w:rPr>
        <w:t>除了单项评估信用风险的应收账款外，</w:t>
      </w:r>
      <w:r w:rsidRPr="00E92885">
        <w:rPr>
          <w:rFonts w:ascii="宋体" w:hAnsi="宋体"/>
          <w:color w:val="000000"/>
          <w:sz w:val="24"/>
          <w:szCs w:val="24"/>
        </w:rPr>
        <w:t>基于其信用风险特征，将其划分为不同组合：</w:t>
      </w:r>
    </w:p>
    <w:tbl>
      <w:tblPr>
        <w:tblW w:w="5000" w:type="pct"/>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631"/>
        <w:gridCol w:w="6675"/>
      </w:tblGrid>
      <w:tr w:rsidR="005B438D" w:rsidRPr="00E92885" w14:paraId="0FF47C64" w14:textId="77777777" w:rsidTr="00836F46">
        <w:trPr>
          <w:trHeight w:val="397"/>
          <w:tblHeader/>
        </w:trPr>
        <w:tc>
          <w:tcPr>
            <w:tcW w:w="982" w:type="pct"/>
            <w:vAlign w:val="center"/>
          </w:tcPr>
          <w:p w14:paraId="50C09836" w14:textId="77777777" w:rsidR="005B438D" w:rsidRPr="00E92885" w:rsidRDefault="005B438D" w:rsidP="00836F46">
            <w:pPr>
              <w:autoSpaceDE w:val="0"/>
              <w:autoSpaceDN w:val="0"/>
              <w:adjustRightInd w:val="0"/>
              <w:jc w:val="center"/>
              <w:rPr>
                <w:rFonts w:ascii="宋体" w:hAnsi="宋体" w:hint="eastAsia"/>
                <w:kern w:val="0"/>
                <w:sz w:val="24"/>
                <w:szCs w:val="24"/>
              </w:rPr>
            </w:pPr>
            <w:r w:rsidRPr="00E92885">
              <w:rPr>
                <w:rFonts w:ascii="宋体" w:hAnsi="宋体"/>
                <w:kern w:val="0"/>
                <w:sz w:val="24"/>
                <w:szCs w:val="24"/>
              </w:rPr>
              <w:t>项  目</w:t>
            </w:r>
          </w:p>
        </w:tc>
        <w:tc>
          <w:tcPr>
            <w:tcW w:w="4017" w:type="pct"/>
            <w:vAlign w:val="center"/>
          </w:tcPr>
          <w:p w14:paraId="079C3D9E" w14:textId="77777777" w:rsidR="005B438D" w:rsidRPr="00E92885" w:rsidRDefault="005B438D" w:rsidP="00836F46">
            <w:pPr>
              <w:autoSpaceDE w:val="0"/>
              <w:autoSpaceDN w:val="0"/>
              <w:adjustRightInd w:val="0"/>
              <w:jc w:val="center"/>
              <w:rPr>
                <w:rFonts w:ascii="宋体" w:hAnsi="宋体" w:hint="eastAsia"/>
                <w:kern w:val="0"/>
                <w:sz w:val="24"/>
                <w:szCs w:val="24"/>
              </w:rPr>
            </w:pPr>
            <w:r w:rsidRPr="00E92885">
              <w:rPr>
                <w:rFonts w:ascii="宋体" w:hAnsi="宋体"/>
                <w:kern w:val="0"/>
                <w:sz w:val="24"/>
                <w:szCs w:val="24"/>
              </w:rPr>
              <w:t>确定组合的依据</w:t>
            </w:r>
          </w:p>
        </w:tc>
      </w:tr>
      <w:tr w:rsidR="005B438D" w:rsidRPr="00E92885" w14:paraId="03A2887B" w14:textId="77777777" w:rsidTr="00836F46">
        <w:trPr>
          <w:trHeight w:val="397"/>
        </w:trPr>
        <w:tc>
          <w:tcPr>
            <w:tcW w:w="982" w:type="pct"/>
            <w:noWrap/>
            <w:vAlign w:val="center"/>
          </w:tcPr>
          <w:p w14:paraId="3154BF54"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应收账款</w:t>
            </w:r>
            <w:r w:rsidRPr="00E92885">
              <w:rPr>
                <w:rFonts w:ascii="宋体" w:hAnsi="宋体" w:hint="eastAsia"/>
                <w:kern w:val="0"/>
                <w:sz w:val="24"/>
                <w:szCs w:val="24"/>
              </w:rPr>
              <w:t>：</w:t>
            </w:r>
          </w:p>
        </w:tc>
        <w:tc>
          <w:tcPr>
            <w:tcW w:w="4017" w:type="pct"/>
            <w:noWrap/>
            <w:vAlign w:val="center"/>
          </w:tcPr>
          <w:p w14:paraId="1B3CB96F" w14:textId="77777777" w:rsidR="005B438D" w:rsidRPr="00E92885" w:rsidRDefault="005B438D" w:rsidP="00836F46">
            <w:pPr>
              <w:adjustRightInd w:val="0"/>
              <w:snapToGrid w:val="0"/>
              <w:rPr>
                <w:rFonts w:ascii="宋体" w:hAnsi="宋体" w:hint="eastAsia"/>
                <w:color w:val="FF0000"/>
                <w:sz w:val="24"/>
                <w:szCs w:val="24"/>
              </w:rPr>
            </w:pPr>
          </w:p>
        </w:tc>
      </w:tr>
      <w:tr w:rsidR="005B438D" w:rsidRPr="00E92885" w14:paraId="01836353" w14:textId="77777777" w:rsidTr="00836F46">
        <w:trPr>
          <w:trHeight w:val="397"/>
        </w:trPr>
        <w:tc>
          <w:tcPr>
            <w:tcW w:w="982" w:type="pct"/>
            <w:noWrap/>
            <w:vAlign w:val="center"/>
          </w:tcPr>
          <w:p w14:paraId="0D5A9028"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组合1</w:t>
            </w:r>
          </w:p>
        </w:tc>
        <w:tc>
          <w:tcPr>
            <w:tcW w:w="4017" w:type="pct"/>
            <w:noWrap/>
            <w:vAlign w:val="center"/>
          </w:tcPr>
          <w:p w14:paraId="66590E38"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sz w:val="24"/>
                <w:szCs w:val="24"/>
              </w:rPr>
              <w:t>本组合为应收政府性质款项</w:t>
            </w:r>
          </w:p>
        </w:tc>
      </w:tr>
      <w:tr w:rsidR="005B438D" w:rsidRPr="00E92885" w14:paraId="2876ECFB" w14:textId="77777777" w:rsidTr="00836F46">
        <w:trPr>
          <w:trHeight w:val="397"/>
        </w:trPr>
        <w:tc>
          <w:tcPr>
            <w:tcW w:w="982" w:type="pct"/>
            <w:noWrap/>
            <w:vAlign w:val="center"/>
          </w:tcPr>
          <w:p w14:paraId="288606A0"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组合2</w:t>
            </w:r>
          </w:p>
        </w:tc>
        <w:tc>
          <w:tcPr>
            <w:tcW w:w="4017" w:type="pct"/>
            <w:noWrap/>
            <w:vAlign w:val="center"/>
          </w:tcPr>
          <w:p w14:paraId="38B8E6B1" w14:textId="77777777" w:rsidR="005B438D" w:rsidRPr="00E92885" w:rsidRDefault="005B438D" w:rsidP="00836F46">
            <w:pPr>
              <w:widowControl/>
              <w:snapToGrid w:val="0"/>
              <w:ind w:leftChars="-20" w:left="-42" w:rightChars="-11" w:right="-23"/>
              <w:rPr>
                <w:rFonts w:ascii="宋体" w:hAnsi="宋体" w:hint="eastAsia"/>
                <w:kern w:val="0"/>
                <w:sz w:val="24"/>
                <w:szCs w:val="24"/>
              </w:rPr>
            </w:pPr>
            <w:r w:rsidRPr="00E92885">
              <w:rPr>
                <w:rFonts w:ascii="宋体" w:hAnsi="宋体"/>
                <w:sz w:val="24"/>
                <w:szCs w:val="24"/>
              </w:rPr>
              <w:t>本组合为应收关联公司款项</w:t>
            </w:r>
          </w:p>
        </w:tc>
      </w:tr>
      <w:tr w:rsidR="005B438D" w:rsidRPr="00E92885" w14:paraId="57F5F24A" w14:textId="77777777" w:rsidTr="00836F46">
        <w:trPr>
          <w:trHeight w:val="397"/>
        </w:trPr>
        <w:tc>
          <w:tcPr>
            <w:tcW w:w="982" w:type="pct"/>
            <w:noWrap/>
            <w:vAlign w:val="center"/>
          </w:tcPr>
          <w:p w14:paraId="756E1EB7"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组合3</w:t>
            </w:r>
          </w:p>
        </w:tc>
        <w:tc>
          <w:tcPr>
            <w:tcW w:w="4017" w:type="pct"/>
            <w:noWrap/>
            <w:vAlign w:val="center"/>
          </w:tcPr>
          <w:p w14:paraId="1C9D41E7" w14:textId="77777777" w:rsidR="005B438D" w:rsidRPr="00E92885" w:rsidRDefault="005B438D" w:rsidP="00836F46">
            <w:pPr>
              <w:widowControl/>
              <w:snapToGrid w:val="0"/>
              <w:ind w:leftChars="-20" w:left="-42" w:rightChars="-11" w:right="-23"/>
              <w:rPr>
                <w:rFonts w:ascii="宋体" w:hAnsi="宋体" w:hint="eastAsia"/>
                <w:kern w:val="0"/>
                <w:sz w:val="24"/>
                <w:szCs w:val="24"/>
              </w:rPr>
            </w:pPr>
            <w:r w:rsidRPr="00E92885">
              <w:rPr>
                <w:rFonts w:ascii="宋体" w:hAnsi="宋体"/>
                <w:sz w:val="24"/>
                <w:szCs w:val="24"/>
              </w:rPr>
              <w:t>本组合为应收一般客户款项或其他款项</w:t>
            </w:r>
          </w:p>
        </w:tc>
      </w:tr>
      <w:tr w:rsidR="005B438D" w:rsidRPr="00E92885" w14:paraId="14F9161F" w14:textId="77777777" w:rsidTr="00836F46">
        <w:trPr>
          <w:trHeight w:val="397"/>
        </w:trPr>
        <w:tc>
          <w:tcPr>
            <w:tcW w:w="982" w:type="pct"/>
            <w:noWrap/>
            <w:vAlign w:val="center"/>
          </w:tcPr>
          <w:p w14:paraId="115CE3A4" w14:textId="77777777" w:rsidR="005B438D" w:rsidRPr="00E92885" w:rsidRDefault="005B438D" w:rsidP="00836F46">
            <w:pPr>
              <w:adjustRightInd w:val="0"/>
              <w:snapToGrid w:val="0"/>
              <w:jc w:val="left"/>
              <w:rPr>
                <w:rFonts w:ascii="宋体" w:hAnsi="宋体" w:hint="eastAsia"/>
                <w:kern w:val="0"/>
                <w:sz w:val="24"/>
                <w:szCs w:val="24"/>
              </w:rPr>
            </w:pPr>
            <w:r w:rsidRPr="00E92885">
              <w:rPr>
                <w:rFonts w:ascii="宋体" w:hAnsi="宋体"/>
                <w:kern w:val="0"/>
                <w:sz w:val="24"/>
                <w:szCs w:val="24"/>
              </w:rPr>
              <w:t>合同资产</w:t>
            </w:r>
            <w:r w:rsidRPr="00E92885">
              <w:rPr>
                <w:rFonts w:ascii="宋体" w:hAnsi="宋体" w:hint="eastAsia"/>
                <w:kern w:val="0"/>
                <w:sz w:val="24"/>
                <w:szCs w:val="24"/>
              </w:rPr>
              <w:t>：</w:t>
            </w:r>
          </w:p>
        </w:tc>
        <w:tc>
          <w:tcPr>
            <w:tcW w:w="4017" w:type="pct"/>
            <w:noWrap/>
            <w:vAlign w:val="center"/>
          </w:tcPr>
          <w:p w14:paraId="3395CD7D" w14:textId="77777777" w:rsidR="005B438D" w:rsidRPr="00E92885" w:rsidRDefault="005B438D" w:rsidP="00836F46">
            <w:pPr>
              <w:adjustRightInd w:val="0"/>
              <w:snapToGrid w:val="0"/>
              <w:rPr>
                <w:rFonts w:ascii="宋体" w:hAnsi="宋体" w:hint="eastAsia"/>
                <w:color w:val="FF0000"/>
                <w:kern w:val="0"/>
                <w:sz w:val="24"/>
                <w:szCs w:val="24"/>
              </w:rPr>
            </w:pPr>
          </w:p>
        </w:tc>
      </w:tr>
      <w:tr w:rsidR="005B438D" w:rsidRPr="00E92885" w14:paraId="6B396823" w14:textId="77777777" w:rsidTr="00836F46">
        <w:trPr>
          <w:trHeight w:val="397"/>
        </w:trPr>
        <w:tc>
          <w:tcPr>
            <w:tcW w:w="982" w:type="pct"/>
            <w:noWrap/>
            <w:vAlign w:val="center"/>
          </w:tcPr>
          <w:p w14:paraId="32D25158"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组合1</w:t>
            </w:r>
          </w:p>
        </w:tc>
        <w:tc>
          <w:tcPr>
            <w:tcW w:w="4017" w:type="pct"/>
            <w:noWrap/>
            <w:vAlign w:val="center"/>
          </w:tcPr>
          <w:p w14:paraId="49876BA5"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sz w:val="24"/>
                <w:szCs w:val="24"/>
              </w:rPr>
              <w:t>本组合为关联公司环境工程建设及服务项目</w:t>
            </w:r>
          </w:p>
        </w:tc>
      </w:tr>
      <w:tr w:rsidR="005B438D" w:rsidRPr="00E92885" w14:paraId="767C3CB6" w14:textId="77777777" w:rsidTr="00836F46">
        <w:trPr>
          <w:trHeight w:val="397"/>
        </w:trPr>
        <w:tc>
          <w:tcPr>
            <w:tcW w:w="982" w:type="pct"/>
            <w:noWrap/>
            <w:vAlign w:val="center"/>
          </w:tcPr>
          <w:p w14:paraId="145D06B2"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组合2</w:t>
            </w:r>
          </w:p>
        </w:tc>
        <w:tc>
          <w:tcPr>
            <w:tcW w:w="4017" w:type="pct"/>
            <w:noWrap/>
            <w:vAlign w:val="center"/>
          </w:tcPr>
          <w:p w14:paraId="4FD6976E"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sz w:val="24"/>
                <w:szCs w:val="24"/>
              </w:rPr>
              <w:t>本组合为政府公用工程建设项目</w:t>
            </w:r>
          </w:p>
        </w:tc>
      </w:tr>
      <w:tr w:rsidR="005B438D" w:rsidRPr="00E92885" w14:paraId="0E1A07B8" w14:textId="77777777" w:rsidTr="00836F46">
        <w:trPr>
          <w:trHeight w:val="397"/>
        </w:trPr>
        <w:tc>
          <w:tcPr>
            <w:tcW w:w="982" w:type="pct"/>
            <w:noWrap/>
            <w:vAlign w:val="center"/>
          </w:tcPr>
          <w:p w14:paraId="17320596"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组合3</w:t>
            </w:r>
          </w:p>
        </w:tc>
        <w:tc>
          <w:tcPr>
            <w:tcW w:w="4017" w:type="pct"/>
            <w:noWrap/>
            <w:vAlign w:val="center"/>
          </w:tcPr>
          <w:p w14:paraId="750CFB85"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sz w:val="24"/>
                <w:szCs w:val="24"/>
              </w:rPr>
              <w:t>本组合为其他客户环境工程建设及服务项目</w:t>
            </w:r>
          </w:p>
        </w:tc>
      </w:tr>
      <w:tr w:rsidR="005B438D" w:rsidRPr="00E92885" w14:paraId="549F8C31" w14:textId="77777777" w:rsidTr="00836F46">
        <w:trPr>
          <w:trHeight w:val="397"/>
        </w:trPr>
        <w:tc>
          <w:tcPr>
            <w:tcW w:w="982" w:type="pct"/>
            <w:noWrap/>
            <w:vAlign w:val="center"/>
          </w:tcPr>
          <w:p w14:paraId="17A6CEA0"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w:t>
            </w:r>
            <w:r w:rsidRPr="00E92885">
              <w:rPr>
                <w:rFonts w:ascii="宋体" w:hAnsi="宋体" w:hint="eastAsia"/>
                <w:kern w:val="0"/>
                <w:sz w:val="24"/>
                <w:szCs w:val="24"/>
              </w:rPr>
              <w:t>4</w:t>
            </w:r>
          </w:p>
        </w:tc>
        <w:tc>
          <w:tcPr>
            <w:tcW w:w="4017" w:type="pct"/>
            <w:noWrap/>
            <w:vAlign w:val="center"/>
          </w:tcPr>
          <w:p w14:paraId="75518D1D"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hint="eastAsia"/>
                <w:sz w:val="24"/>
                <w:szCs w:val="24"/>
              </w:rPr>
              <w:t>本组合为生活垃圾填埋项目</w:t>
            </w:r>
          </w:p>
        </w:tc>
      </w:tr>
      <w:tr w:rsidR="005B438D" w:rsidRPr="00E92885" w14:paraId="1C24F72E" w14:textId="77777777" w:rsidTr="00836F46">
        <w:trPr>
          <w:trHeight w:val="397"/>
        </w:trPr>
        <w:tc>
          <w:tcPr>
            <w:tcW w:w="982" w:type="pct"/>
            <w:noWrap/>
            <w:vAlign w:val="center"/>
          </w:tcPr>
          <w:p w14:paraId="07D21AFB"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w:t>
            </w:r>
            <w:r w:rsidRPr="00E92885">
              <w:rPr>
                <w:rFonts w:ascii="宋体" w:hAnsi="宋体" w:hint="eastAsia"/>
                <w:kern w:val="0"/>
                <w:sz w:val="24"/>
                <w:szCs w:val="24"/>
              </w:rPr>
              <w:t>5</w:t>
            </w:r>
          </w:p>
        </w:tc>
        <w:tc>
          <w:tcPr>
            <w:tcW w:w="4017" w:type="pct"/>
            <w:noWrap/>
            <w:vAlign w:val="center"/>
          </w:tcPr>
          <w:p w14:paraId="2261C73B" w14:textId="77777777" w:rsidR="005B438D" w:rsidRPr="00E92885" w:rsidRDefault="005B438D" w:rsidP="00836F46">
            <w:pPr>
              <w:widowControl/>
              <w:snapToGrid w:val="0"/>
              <w:ind w:leftChars="-20" w:left="-42" w:rightChars="-11" w:right="-23"/>
              <w:rPr>
                <w:rFonts w:ascii="宋体" w:hAnsi="宋体" w:hint="eastAsia"/>
                <w:color w:val="FF0000"/>
                <w:kern w:val="0"/>
                <w:sz w:val="24"/>
                <w:szCs w:val="24"/>
              </w:rPr>
            </w:pPr>
            <w:r w:rsidRPr="00E92885">
              <w:rPr>
                <w:rFonts w:ascii="宋体" w:hAnsi="宋体" w:hint="eastAsia"/>
                <w:sz w:val="24"/>
                <w:szCs w:val="24"/>
              </w:rPr>
              <w:t>本组合为发电补贴项目</w:t>
            </w:r>
          </w:p>
        </w:tc>
      </w:tr>
    </w:tbl>
    <w:p w14:paraId="512B63E5" w14:textId="77777777" w:rsidR="005B438D" w:rsidRPr="00E92885" w:rsidRDefault="005B438D" w:rsidP="005B438D">
      <w:pPr>
        <w:spacing w:line="460" w:lineRule="atLeast"/>
        <w:ind w:firstLineChars="200" w:firstLine="480"/>
        <w:jc w:val="left"/>
        <w:rPr>
          <w:rFonts w:ascii="宋体" w:hAnsi="宋体" w:hint="eastAsia"/>
          <w:color w:val="000000"/>
          <w:sz w:val="24"/>
          <w:szCs w:val="24"/>
        </w:rPr>
      </w:pPr>
      <w:r w:rsidRPr="00E92885">
        <w:rPr>
          <w:rFonts w:ascii="宋体" w:hAnsi="宋体" w:hint="eastAsia"/>
          <w:color w:val="000000"/>
          <w:sz w:val="24"/>
          <w:szCs w:val="24"/>
        </w:rPr>
        <w:t>③</w:t>
      </w:r>
      <w:r w:rsidRPr="00E92885">
        <w:rPr>
          <w:rFonts w:ascii="宋体" w:hAnsi="宋体"/>
          <w:color w:val="000000"/>
          <w:sz w:val="24"/>
          <w:szCs w:val="24"/>
        </w:rPr>
        <w:t>应收款项融资</w:t>
      </w:r>
    </w:p>
    <w:p w14:paraId="08A42D46" w14:textId="77777777" w:rsidR="005B438D" w:rsidRPr="00E92885" w:rsidRDefault="005B438D" w:rsidP="005B438D">
      <w:pPr>
        <w:spacing w:line="460" w:lineRule="atLeast"/>
        <w:ind w:firstLineChars="200" w:firstLine="480"/>
        <w:jc w:val="left"/>
        <w:rPr>
          <w:rFonts w:ascii="宋体" w:hAnsi="宋体" w:hint="eastAsia"/>
          <w:color w:val="000000"/>
          <w:sz w:val="24"/>
          <w:szCs w:val="24"/>
        </w:rPr>
      </w:pPr>
      <w:r w:rsidRPr="00E92885">
        <w:rPr>
          <w:rFonts w:ascii="宋体" w:hAnsi="宋体"/>
          <w:color w:val="000000"/>
          <w:sz w:val="24"/>
          <w:szCs w:val="24"/>
        </w:rPr>
        <w:t>以公允价值计量且其变动计入其他综合收益</w:t>
      </w:r>
      <w:r w:rsidRPr="00E92885">
        <w:rPr>
          <w:rFonts w:ascii="宋体" w:hAnsi="宋体"/>
          <w:sz w:val="24"/>
          <w:szCs w:val="24"/>
        </w:rPr>
        <w:t>的应收票据和应收账款，自初始确认日起到期期限在一年内（含一年）的，列报为应收款项融资</w:t>
      </w:r>
      <w:r w:rsidRPr="00E92885">
        <w:rPr>
          <w:rFonts w:ascii="宋体" w:hAnsi="宋体"/>
          <w:color w:val="000000"/>
          <w:sz w:val="24"/>
          <w:szCs w:val="24"/>
        </w:rPr>
        <w:t>。</w:t>
      </w:r>
      <w:r w:rsidRPr="00E92885">
        <w:rPr>
          <w:rFonts w:ascii="宋体" w:hAnsi="宋体" w:hint="eastAsia"/>
          <w:color w:val="000000"/>
          <w:sz w:val="24"/>
          <w:szCs w:val="24"/>
        </w:rPr>
        <w:t>公司</w:t>
      </w:r>
      <w:r w:rsidRPr="00E92885">
        <w:rPr>
          <w:rFonts w:ascii="宋体" w:hAnsi="宋体"/>
          <w:color w:val="000000"/>
          <w:sz w:val="24"/>
          <w:szCs w:val="24"/>
        </w:rPr>
        <w:t>采用整个存续期的预期信用损失的金额计量减值损失。</w:t>
      </w:r>
    </w:p>
    <w:p w14:paraId="1D698B2F" w14:textId="77777777" w:rsidR="005B438D" w:rsidRPr="00E92885" w:rsidRDefault="005B438D" w:rsidP="005B438D">
      <w:pPr>
        <w:spacing w:line="460" w:lineRule="atLeast"/>
        <w:ind w:firstLineChars="200" w:firstLine="480"/>
        <w:jc w:val="left"/>
        <w:rPr>
          <w:rFonts w:ascii="宋体" w:hAnsi="宋体" w:hint="eastAsia"/>
          <w:color w:val="000000"/>
          <w:sz w:val="24"/>
          <w:szCs w:val="24"/>
        </w:rPr>
      </w:pPr>
      <w:r w:rsidRPr="00E92885">
        <w:rPr>
          <w:rFonts w:ascii="宋体" w:hAnsi="宋体" w:hint="eastAsia"/>
          <w:color w:val="000000"/>
          <w:sz w:val="24"/>
          <w:szCs w:val="24"/>
        </w:rPr>
        <w:t>④</w:t>
      </w:r>
      <w:r w:rsidRPr="00E92885">
        <w:rPr>
          <w:rFonts w:ascii="宋体" w:hAnsi="宋体"/>
          <w:color w:val="000000"/>
          <w:sz w:val="24"/>
          <w:szCs w:val="24"/>
        </w:rPr>
        <w:t>其他应收款</w:t>
      </w:r>
    </w:p>
    <w:p w14:paraId="750D38C0" w14:textId="77777777" w:rsidR="005B438D" w:rsidRPr="00E92885" w:rsidRDefault="005B438D" w:rsidP="005B438D">
      <w:pPr>
        <w:spacing w:line="460" w:lineRule="atLeast"/>
        <w:ind w:firstLineChars="200" w:firstLine="480"/>
        <w:jc w:val="left"/>
        <w:rPr>
          <w:rFonts w:ascii="宋体" w:hAnsi="宋体" w:hint="eastAsia"/>
          <w:color w:val="000000"/>
          <w:sz w:val="24"/>
          <w:szCs w:val="24"/>
        </w:rPr>
      </w:pPr>
      <w:r w:rsidRPr="00E92885">
        <w:rPr>
          <w:rFonts w:ascii="宋体" w:hAnsi="宋体" w:hint="eastAsia"/>
          <w:color w:val="000000"/>
          <w:sz w:val="24"/>
          <w:szCs w:val="24"/>
        </w:rPr>
        <w:t>公司</w:t>
      </w:r>
      <w:r w:rsidRPr="00E92885">
        <w:rPr>
          <w:rFonts w:ascii="宋体" w:hAnsi="宋体"/>
          <w:color w:val="000000"/>
          <w:sz w:val="24"/>
          <w:szCs w:val="24"/>
        </w:rPr>
        <w:t>依据其他应收款信用风险自初始确认后是否已经显著增加，采用相当于未来12个月内、或整个存续期的预期信用损失的金额计量减值损失。</w:t>
      </w:r>
      <w:r w:rsidRPr="00E92885">
        <w:rPr>
          <w:rFonts w:ascii="宋体" w:hAnsi="宋体"/>
          <w:bCs/>
          <w:sz w:val="24"/>
          <w:szCs w:val="24"/>
        </w:rPr>
        <w:t>除了单项评估信用风险的其他应收款外，</w:t>
      </w:r>
      <w:r w:rsidRPr="00E92885">
        <w:rPr>
          <w:rFonts w:ascii="宋体" w:hAnsi="宋体"/>
          <w:color w:val="000000"/>
          <w:sz w:val="24"/>
          <w:szCs w:val="24"/>
        </w:rPr>
        <w:t>基于其信用风险特征，将其划分为不同组合：</w:t>
      </w:r>
    </w:p>
    <w:tbl>
      <w:tblPr>
        <w:tblW w:w="5000" w:type="pct"/>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631"/>
        <w:gridCol w:w="6675"/>
      </w:tblGrid>
      <w:tr w:rsidR="005B438D" w:rsidRPr="00E92885" w14:paraId="7BAE4A1D" w14:textId="77777777" w:rsidTr="00836F46">
        <w:trPr>
          <w:trHeight w:val="397"/>
          <w:tblHeader/>
        </w:trPr>
        <w:tc>
          <w:tcPr>
            <w:tcW w:w="982" w:type="pct"/>
            <w:vAlign w:val="center"/>
          </w:tcPr>
          <w:p w14:paraId="1747242D" w14:textId="77777777" w:rsidR="005B438D" w:rsidRPr="00E92885" w:rsidRDefault="005B438D" w:rsidP="00836F46">
            <w:pPr>
              <w:jc w:val="center"/>
              <w:rPr>
                <w:rFonts w:ascii="宋体" w:hAnsi="宋体" w:hint="eastAsia"/>
                <w:kern w:val="0"/>
                <w:sz w:val="24"/>
                <w:szCs w:val="24"/>
              </w:rPr>
            </w:pPr>
            <w:r w:rsidRPr="00E92885">
              <w:rPr>
                <w:rFonts w:ascii="宋体" w:hAnsi="宋体"/>
                <w:kern w:val="0"/>
                <w:sz w:val="24"/>
                <w:szCs w:val="24"/>
              </w:rPr>
              <w:t>项  目</w:t>
            </w:r>
          </w:p>
        </w:tc>
        <w:tc>
          <w:tcPr>
            <w:tcW w:w="4017" w:type="pct"/>
            <w:vAlign w:val="center"/>
          </w:tcPr>
          <w:p w14:paraId="1F4380BB" w14:textId="77777777" w:rsidR="005B438D" w:rsidRPr="00E92885" w:rsidRDefault="005B438D" w:rsidP="00836F46">
            <w:pPr>
              <w:ind w:firstLineChars="200" w:firstLine="480"/>
              <w:jc w:val="center"/>
              <w:rPr>
                <w:rFonts w:ascii="宋体" w:hAnsi="宋体" w:hint="eastAsia"/>
                <w:kern w:val="0"/>
                <w:sz w:val="24"/>
                <w:szCs w:val="24"/>
              </w:rPr>
            </w:pPr>
            <w:r w:rsidRPr="00E92885">
              <w:rPr>
                <w:rFonts w:ascii="宋体" w:hAnsi="宋体"/>
                <w:kern w:val="0"/>
                <w:sz w:val="24"/>
                <w:szCs w:val="24"/>
              </w:rPr>
              <w:t>确定组合的依据</w:t>
            </w:r>
          </w:p>
        </w:tc>
      </w:tr>
      <w:tr w:rsidR="005B438D" w:rsidRPr="00E92885" w14:paraId="7A761FBC" w14:textId="77777777" w:rsidTr="00836F46">
        <w:trPr>
          <w:trHeight w:val="397"/>
        </w:trPr>
        <w:tc>
          <w:tcPr>
            <w:tcW w:w="982" w:type="pct"/>
            <w:noWrap/>
            <w:vAlign w:val="center"/>
          </w:tcPr>
          <w:p w14:paraId="685E45F9"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组合1</w:t>
            </w:r>
          </w:p>
        </w:tc>
        <w:tc>
          <w:tcPr>
            <w:tcW w:w="4017" w:type="pct"/>
            <w:noWrap/>
            <w:vAlign w:val="center"/>
          </w:tcPr>
          <w:p w14:paraId="03AF6303"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本组合为应收政府性质款项</w:t>
            </w:r>
          </w:p>
        </w:tc>
      </w:tr>
      <w:tr w:rsidR="005B438D" w:rsidRPr="00E92885" w14:paraId="0BC00D30" w14:textId="77777777" w:rsidTr="00836F46">
        <w:trPr>
          <w:trHeight w:val="397"/>
        </w:trPr>
        <w:tc>
          <w:tcPr>
            <w:tcW w:w="982" w:type="pct"/>
            <w:noWrap/>
            <w:vAlign w:val="center"/>
          </w:tcPr>
          <w:p w14:paraId="20AC7199"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lastRenderedPageBreak/>
              <w:t>组合2</w:t>
            </w:r>
          </w:p>
        </w:tc>
        <w:tc>
          <w:tcPr>
            <w:tcW w:w="4017" w:type="pct"/>
            <w:noWrap/>
            <w:vAlign w:val="center"/>
          </w:tcPr>
          <w:p w14:paraId="128ECFA1"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本组合为应收关联公司款项</w:t>
            </w:r>
          </w:p>
        </w:tc>
      </w:tr>
      <w:tr w:rsidR="005B438D" w:rsidRPr="00E92885" w14:paraId="79B15740" w14:textId="77777777" w:rsidTr="00836F46">
        <w:trPr>
          <w:trHeight w:val="397"/>
        </w:trPr>
        <w:tc>
          <w:tcPr>
            <w:tcW w:w="982" w:type="pct"/>
            <w:noWrap/>
            <w:vAlign w:val="center"/>
          </w:tcPr>
          <w:p w14:paraId="61C698AB"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组合3</w:t>
            </w:r>
          </w:p>
        </w:tc>
        <w:tc>
          <w:tcPr>
            <w:tcW w:w="4017" w:type="pct"/>
            <w:noWrap/>
            <w:vAlign w:val="center"/>
          </w:tcPr>
          <w:p w14:paraId="1ADBB4BC"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本组合为应收一般客户款项或其他款项</w:t>
            </w:r>
          </w:p>
        </w:tc>
      </w:tr>
      <w:tr w:rsidR="005B438D" w:rsidRPr="00E92885" w14:paraId="314F72EE" w14:textId="77777777" w:rsidTr="00836F46">
        <w:trPr>
          <w:trHeight w:val="397"/>
        </w:trPr>
        <w:tc>
          <w:tcPr>
            <w:tcW w:w="982" w:type="pct"/>
            <w:noWrap/>
            <w:vAlign w:val="center"/>
          </w:tcPr>
          <w:p w14:paraId="236D32FB"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组合4</w:t>
            </w:r>
          </w:p>
        </w:tc>
        <w:tc>
          <w:tcPr>
            <w:tcW w:w="4017" w:type="pct"/>
            <w:noWrap/>
            <w:vAlign w:val="center"/>
          </w:tcPr>
          <w:p w14:paraId="2F497D0F" w14:textId="77777777" w:rsidR="005B438D" w:rsidRPr="00E92885" w:rsidRDefault="005B438D" w:rsidP="00836F46">
            <w:pPr>
              <w:adjustRightInd w:val="0"/>
              <w:snapToGrid w:val="0"/>
              <w:rPr>
                <w:rFonts w:ascii="宋体" w:hAnsi="宋体" w:hint="eastAsia"/>
                <w:kern w:val="0"/>
                <w:sz w:val="24"/>
                <w:szCs w:val="24"/>
              </w:rPr>
            </w:pPr>
            <w:r w:rsidRPr="00E92885">
              <w:rPr>
                <w:rFonts w:ascii="宋体" w:hAnsi="宋体"/>
                <w:kern w:val="0"/>
                <w:sz w:val="24"/>
                <w:szCs w:val="24"/>
              </w:rPr>
              <w:t>本组合为</w:t>
            </w:r>
            <w:r w:rsidRPr="00E92885">
              <w:rPr>
                <w:rFonts w:ascii="宋体" w:hAnsi="宋体" w:hint="eastAsia"/>
                <w:kern w:val="0"/>
                <w:sz w:val="24"/>
                <w:szCs w:val="24"/>
              </w:rPr>
              <w:t>应收押金、保证金、备用金及其他</w:t>
            </w:r>
          </w:p>
        </w:tc>
      </w:tr>
    </w:tbl>
    <w:p w14:paraId="4FF8DD11"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公司20</w:t>
      </w:r>
      <w:r>
        <w:rPr>
          <w:rFonts w:ascii="宋体" w:hAnsi="宋体"/>
          <w:sz w:val="24"/>
        </w:rPr>
        <w:t>2</w:t>
      </w:r>
      <w:r>
        <w:rPr>
          <w:rFonts w:ascii="宋体" w:hAnsi="宋体" w:hint="eastAsia"/>
          <w:sz w:val="24"/>
        </w:rPr>
        <w:t>5年度按照预期信用损失模型以及单项预计信用损失率计提的应收账款坏账准备</w:t>
      </w:r>
      <w:r w:rsidRPr="004C01C6">
        <w:rPr>
          <w:rFonts w:ascii="宋体" w:hAnsi="宋体"/>
          <w:sz w:val="24"/>
        </w:rPr>
        <w:t>3,610.24</w:t>
      </w:r>
      <w:r>
        <w:rPr>
          <w:rFonts w:ascii="宋体" w:hAnsi="宋体" w:hint="eastAsia"/>
          <w:sz w:val="24"/>
        </w:rPr>
        <w:t>万元，其他应收款坏账准备</w:t>
      </w:r>
      <w:r w:rsidRPr="004C5A8F">
        <w:rPr>
          <w:rFonts w:ascii="宋体" w:hAnsi="宋体"/>
          <w:sz w:val="24"/>
        </w:rPr>
        <w:t>-68.36</w:t>
      </w:r>
      <w:r>
        <w:rPr>
          <w:rFonts w:ascii="宋体" w:hAnsi="宋体" w:hint="eastAsia"/>
          <w:sz w:val="24"/>
        </w:rPr>
        <w:t>万元，应收票据减值准备2.15万元。</w:t>
      </w:r>
    </w:p>
    <w:p w14:paraId="1945AF64"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2、存货计提减值准备说明</w:t>
      </w:r>
    </w:p>
    <w:p w14:paraId="21665D7B"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公司</w:t>
      </w:r>
      <w:r w:rsidRPr="0023272B">
        <w:rPr>
          <w:rFonts w:ascii="宋体" w:hAnsi="宋体" w:hint="eastAsia"/>
          <w:sz w:val="24"/>
        </w:rPr>
        <w:t>存货采用成本与可变现净值孰低计量，按照存货成本高于可变现净值的差额计提存货跌价准备。直接用于出售的存货，在正常生产经营过程中以该存货的估计售价减去估计的销售费用和相关税费后的金额确定其可变现净值；需要经过加工的存货，在正常生产经营过程中以所生产的产成品的估计售价减去至完工时估计将要发生的成本、估计的销售费用和相关税费后的金额确定其可变现净值；资产负债表日，同一项存货中一部分有合同价格约定、其他部分不存在合同价格的，分别确定其可变现净值，并与其对应的成本进行比较，分别确定存货跌价准备的计提或转回的金额。</w:t>
      </w:r>
      <w:r>
        <w:rPr>
          <w:rFonts w:ascii="宋体" w:hAnsi="宋体" w:hint="eastAsia"/>
          <w:sz w:val="24"/>
        </w:rPr>
        <w:t>2</w:t>
      </w:r>
      <w:r>
        <w:rPr>
          <w:rFonts w:ascii="宋体" w:hAnsi="宋体"/>
          <w:sz w:val="24"/>
        </w:rPr>
        <w:t>02</w:t>
      </w:r>
      <w:r>
        <w:rPr>
          <w:rFonts w:ascii="宋体" w:hAnsi="宋体" w:hint="eastAsia"/>
          <w:sz w:val="24"/>
        </w:rPr>
        <w:t>5年度公司计提存货</w:t>
      </w:r>
      <w:r w:rsidRPr="0022723A">
        <w:rPr>
          <w:rFonts w:ascii="宋体" w:hAnsi="宋体" w:hint="eastAsia"/>
          <w:sz w:val="24"/>
        </w:rPr>
        <w:t>减值准备</w:t>
      </w:r>
      <w:r w:rsidRPr="00F60270">
        <w:rPr>
          <w:rFonts w:ascii="宋体" w:hAnsi="宋体"/>
          <w:sz w:val="24"/>
        </w:rPr>
        <w:t>1,866.86</w:t>
      </w:r>
      <w:r w:rsidRPr="00851B8B">
        <w:rPr>
          <w:rFonts w:ascii="宋体" w:hAnsi="宋体" w:hint="eastAsia"/>
          <w:sz w:val="24"/>
        </w:rPr>
        <w:t>万元</w:t>
      </w:r>
      <w:r w:rsidRPr="0022723A">
        <w:rPr>
          <w:rFonts w:ascii="宋体" w:hAnsi="宋体" w:hint="eastAsia"/>
          <w:sz w:val="24"/>
        </w:rPr>
        <w:t>。</w:t>
      </w:r>
    </w:p>
    <w:p w14:paraId="6F1CFC77"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sz w:val="24"/>
        </w:rPr>
        <w:t>3</w:t>
      </w:r>
      <w:r>
        <w:rPr>
          <w:rFonts w:ascii="宋体" w:hAnsi="宋体" w:hint="eastAsia"/>
          <w:sz w:val="24"/>
        </w:rPr>
        <w:t>、固定资产计提减值准备说明</w:t>
      </w:r>
    </w:p>
    <w:p w14:paraId="460E57B1" w14:textId="77777777" w:rsidR="005B438D" w:rsidRDefault="005B438D" w:rsidP="005B438D">
      <w:pPr>
        <w:spacing w:beforeLines="50" w:before="156" w:afterLines="50" w:after="156" w:line="440" w:lineRule="exact"/>
        <w:ind w:firstLineChars="200" w:firstLine="480"/>
        <w:rPr>
          <w:rFonts w:ascii="宋体" w:hAnsi="宋体" w:hint="eastAsia"/>
          <w:sz w:val="24"/>
        </w:rPr>
      </w:pPr>
      <w:r w:rsidRPr="00741F3D">
        <w:rPr>
          <w:rFonts w:ascii="宋体" w:hAnsi="宋体" w:hint="eastAsia"/>
          <w:sz w:val="24"/>
        </w:rPr>
        <w:t>公司</w:t>
      </w:r>
      <w:r>
        <w:rPr>
          <w:rFonts w:ascii="宋体" w:hAnsi="宋体" w:hint="eastAsia"/>
          <w:sz w:val="24"/>
        </w:rPr>
        <w:t>固定资产</w:t>
      </w:r>
      <w:r w:rsidRPr="00741F3D">
        <w:rPr>
          <w:rFonts w:ascii="宋体" w:hAnsi="宋体" w:hint="eastAsia"/>
          <w:sz w:val="24"/>
        </w:rPr>
        <w:t>减值准备的确认标准及计提方法为：资产负债表日，本公司对</w:t>
      </w:r>
      <w:r>
        <w:rPr>
          <w:rFonts w:ascii="宋体" w:hAnsi="宋体" w:hint="eastAsia"/>
          <w:sz w:val="24"/>
        </w:rPr>
        <w:t>固定资产</w:t>
      </w:r>
      <w:r w:rsidRPr="00741F3D">
        <w:rPr>
          <w:rFonts w:ascii="宋体" w:hAnsi="宋体" w:hint="eastAsia"/>
          <w:sz w:val="24"/>
        </w:rPr>
        <w:t>检查是否存在可能发生减值的迹象，当存在减值迹象时应进行减值测试确认其可收回金额，按可收回金额低于账面价值部分计提减值准备。</w:t>
      </w:r>
      <w:r>
        <w:rPr>
          <w:rFonts w:ascii="宋体" w:hAnsi="宋体" w:hint="eastAsia"/>
          <w:sz w:val="24"/>
        </w:rPr>
        <w:t>固定资产</w:t>
      </w:r>
      <w:r w:rsidRPr="00741F3D">
        <w:rPr>
          <w:rFonts w:ascii="宋体" w:hAnsi="宋体" w:hint="eastAsia"/>
          <w:sz w:val="24"/>
        </w:rPr>
        <w:t>可收回金额根据资产公允价值减去处置费用后的净额与资产预计未来现金流量的现值两者孰高确定。202</w:t>
      </w:r>
      <w:r>
        <w:rPr>
          <w:rFonts w:ascii="宋体" w:hAnsi="宋体" w:hint="eastAsia"/>
          <w:sz w:val="24"/>
        </w:rPr>
        <w:t>5</w:t>
      </w:r>
      <w:r w:rsidRPr="00741F3D">
        <w:rPr>
          <w:rFonts w:ascii="宋体" w:hAnsi="宋体" w:hint="eastAsia"/>
          <w:sz w:val="24"/>
        </w:rPr>
        <w:t>年度公司计提</w:t>
      </w:r>
      <w:r>
        <w:rPr>
          <w:rFonts w:ascii="宋体" w:hAnsi="宋体" w:hint="eastAsia"/>
          <w:sz w:val="24"/>
        </w:rPr>
        <w:t>固定资产</w:t>
      </w:r>
      <w:r w:rsidRPr="00741F3D">
        <w:rPr>
          <w:rFonts w:ascii="宋体" w:hAnsi="宋体" w:hint="eastAsia"/>
          <w:sz w:val="24"/>
        </w:rPr>
        <w:t>减值准备</w:t>
      </w:r>
      <w:r w:rsidRPr="00434624">
        <w:rPr>
          <w:rFonts w:ascii="宋体" w:hAnsi="宋体"/>
          <w:sz w:val="24"/>
        </w:rPr>
        <w:t>8,816.41</w:t>
      </w:r>
      <w:r w:rsidRPr="0023272B">
        <w:rPr>
          <w:rFonts w:ascii="宋体" w:hAnsi="宋体" w:hint="eastAsia"/>
          <w:sz w:val="24"/>
        </w:rPr>
        <w:t>万</w:t>
      </w:r>
      <w:r w:rsidRPr="00147FBF">
        <w:rPr>
          <w:rFonts w:ascii="宋体" w:hAnsi="宋体" w:hint="eastAsia"/>
          <w:sz w:val="24"/>
        </w:rPr>
        <w:t>元</w:t>
      </w:r>
      <w:r w:rsidRPr="00741F3D">
        <w:rPr>
          <w:rFonts w:ascii="宋体" w:hAnsi="宋体" w:hint="eastAsia"/>
          <w:sz w:val="24"/>
        </w:rPr>
        <w:t>。</w:t>
      </w:r>
    </w:p>
    <w:p w14:paraId="2F4701E2"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sz w:val="24"/>
        </w:rPr>
        <w:t>4</w:t>
      </w:r>
      <w:r>
        <w:rPr>
          <w:rFonts w:ascii="宋体" w:hAnsi="宋体" w:hint="eastAsia"/>
          <w:sz w:val="24"/>
        </w:rPr>
        <w:t>、商誉计提减值准备说明</w:t>
      </w:r>
    </w:p>
    <w:p w14:paraId="52201A1C"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根据《企业会计准则第8 号--资产减值》规定，企业合并所形成的商誉，至少应当在每年年度终了进行减值测试。商誉应当结合与其相关的资产组或者资产组组合进行减值测试，资产组或者资产组组合的可收回金额低于其账面价值的，应当确认相应的减值损失。减值损失金额先抵减资产组或者资产组组合中商誉的账面价值，作为商誉的减值损失处理，计入当期损益。</w:t>
      </w:r>
    </w:p>
    <w:p w14:paraId="34968A4D"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hint="eastAsia"/>
          <w:sz w:val="24"/>
        </w:rPr>
        <w:t>20</w:t>
      </w:r>
      <w:r>
        <w:rPr>
          <w:rFonts w:ascii="宋体" w:hAnsi="宋体"/>
          <w:sz w:val="24"/>
        </w:rPr>
        <w:t>2</w:t>
      </w:r>
      <w:r>
        <w:rPr>
          <w:rFonts w:ascii="宋体" w:hAnsi="宋体" w:hint="eastAsia"/>
          <w:sz w:val="24"/>
        </w:rPr>
        <w:t>5年度终了时，公司对因企业合并形成的商誉实施减值测试，并</w:t>
      </w:r>
      <w:r w:rsidRPr="0022723A">
        <w:rPr>
          <w:rFonts w:ascii="宋体" w:hAnsi="宋体" w:hint="eastAsia"/>
          <w:sz w:val="24"/>
        </w:rPr>
        <w:t>聘请资</w:t>
      </w:r>
      <w:r w:rsidRPr="0022723A">
        <w:rPr>
          <w:rFonts w:ascii="宋体" w:hAnsi="宋体" w:hint="eastAsia"/>
          <w:sz w:val="24"/>
        </w:rPr>
        <w:lastRenderedPageBreak/>
        <w:t>产评估机构分别对其项目资产组（含商誉）在评估基准日所表现的可收回金额进行评估。根据评估测试，</w:t>
      </w:r>
      <w:r>
        <w:rPr>
          <w:rFonts w:ascii="宋体" w:hAnsi="宋体" w:hint="eastAsia"/>
          <w:sz w:val="24"/>
        </w:rPr>
        <w:t>计提的商誉减值准备金额为</w:t>
      </w:r>
      <w:r w:rsidRPr="004C01C6">
        <w:rPr>
          <w:rFonts w:ascii="宋体" w:hAnsi="宋体"/>
          <w:sz w:val="24"/>
        </w:rPr>
        <w:t>30,555.20</w:t>
      </w:r>
      <w:r>
        <w:rPr>
          <w:rFonts w:ascii="宋体" w:hAnsi="宋体" w:hint="eastAsia"/>
          <w:sz w:val="24"/>
        </w:rPr>
        <w:t>万元。</w:t>
      </w:r>
    </w:p>
    <w:p w14:paraId="0E44758E" w14:textId="77777777" w:rsidR="005B438D"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b/>
          <w:sz w:val="24"/>
          <w:szCs w:val="32"/>
        </w:rPr>
        <w:t>四、本次计提资产减值准备对公司的影响</w:t>
      </w:r>
    </w:p>
    <w:p w14:paraId="735E8A4C" w14:textId="77777777" w:rsidR="005B438D" w:rsidRDefault="005B438D" w:rsidP="005B438D">
      <w:pPr>
        <w:spacing w:beforeLines="50" w:before="156" w:afterLines="50" w:after="156" w:line="440" w:lineRule="exact"/>
        <w:ind w:firstLineChars="200" w:firstLine="480"/>
        <w:rPr>
          <w:rFonts w:ascii="宋体" w:hAnsi="宋体" w:hint="eastAsia"/>
          <w:sz w:val="24"/>
        </w:rPr>
      </w:pPr>
      <w:r w:rsidRPr="00CA5872">
        <w:rPr>
          <w:rFonts w:ascii="宋体" w:hAnsi="宋体" w:hint="eastAsia"/>
          <w:sz w:val="24"/>
        </w:rPr>
        <w:t>公司 202</w:t>
      </w:r>
      <w:r>
        <w:rPr>
          <w:rFonts w:ascii="宋体" w:hAnsi="宋体" w:hint="eastAsia"/>
          <w:sz w:val="24"/>
        </w:rPr>
        <w:t>5</w:t>
      </w:r>
      <w:r w:rsidRPr="00CA5872">
        <w:rPr>
          <w:rFonts w:ascii="宋体" w:hAnsi="宋体" w:hint="eastAsia"/>
          <w:sz w:val="24"/>
        </w:rPr>
        <w:t>年度计提资产减值准备金额共计</w:t>
      </w:r>
      <w:r w:rsidRPr="004C01C6">
        <w:rPr>
          <w:rFonts w:ascii="宋体" w:hAnsi="宋体"/>
          <w:sz w:val="24"/>
        </w:rPr>
        <w:t>45,406.43</w:t>
      </w:r>
      <w:r w:rsidRPr="00CA5872">
        <w:rPr>
          <w:rFonts w:ascii="宋体" w:hAnsi="宋体" w:hint="eastAsia"/>
          <w:sz w:val="24"/>
        </w:rPr>
        <w:t>万元，减少公司202</w:t>
      </w:r>
      <w:r>
        <w:rPr>
          <w:rFonts w:ascii="宋体" w:hAnsi="宋体" w:hint="eastAsia"/>
          <w:sz w:val="24"/>
        </w:rPr>
        <w:t>5</w:t>
      </w:r>
      <w:r w:rsidRPr="00CA5872">
        <w:rPr>
          <w:rFonts w:ascii="宋体" w:hAnsi="宋体" w:hint="eastAsia"/>
          <w:sz w:val="24"/>
        </w:rPr>
        <w:t>年度归属于上市公司股东净利润</w:t>
      </w:r>
      <w:r w:rsidRPr="004C01C6">
        <w:rPr>
          <w:rFonts w:ascii="宋体" w:hAnsi="宋体"/>
          <w:sz w:val="24"/>
        </w:rPr>
        <w:t>43,868.51</w:t>
      </w:r>
      <w:r w:rsidRPr="00405DCA">
        <w:rPr>
          <w:rFonts w:ascii="宋体" w:hAnsi="宋体" w:hint="eastAsia"/>
          <w:sz w:val="24"/>
        </w:rPr>
        <w:t>万元</w:t>
      </w:r>
      <w:r w:rsidRPr="00CA5872">
        <w:rPr>
          <w:rFonts w:ascii="宋体" w:hAnsi="宋体" w:hint="eastAsia"/>
          <w:sz w:val="24"/>
        </w:rPr>
        <w:t>，相应减少公司202</w:t>
      </w:r>
      <w:r>
        <w:rPr>
          <w:rFonts w:ascii="宋体" w:hAnsi="宋体" w:hint="eastAsia"/>
          <w:sz w:val="24"/>
        </w:rPr>
        <w:t>5</w:t>
      </w:r>
      <w:r w:rsidRPr="00CA5872">
        <w:rPr>
          <w:rFonts w:ascii="宋体" w:hAnsi="宋体" w:hint="eastAsia"/>
          <w:sz w:val="24"/>
        </w:rPr>
        <w:t>年度归属于上市公司股东所有者权益</w:t>
      </w:r>
      <w:r w:rsidRPr="004C01C6">
        <w:rPr>
          <w:rFonts w:ascii="宋体" w:hAnsi="宋体"/>
          <w:sz w:val="24"/>
        </w:rPr>
        <w:t>43,868.51</w:t>
      </w:r>
      <w:r w:rsidRPr="00405DCA">
        <w:rPr>
          <w:rFonts w:ascii="宋体" w:hAnsi="宋体" w:hint="eastAsia"/>
          <w:sz w:val="24"/>
        </w:rPr>
        <w:t>万元</w:t>
      </w:r>
      <w:r w:rsidRPr="00CA5872">
        <w:rPr>
          <w:rFonts w:ascii="宋体" w:hAnsi="宋体" w:hint="eastAsia"/>
          <w:sz w:val="24"/>
        </w:rPr>
        <w:t>；计提资产减值准备后，公司202</w:t>
      </w:r>
      <w:r>
        <w:rPr>
          <w:rFonts w:ascii="宋体" w:hAnsi="宋体" w:hint="eastAsia"/>
          <w:sz w:val="24"/>
        </w:rPr>
        <w:t>5</w:t>
      </w:r>
      <w:r w:rsidRPr="00CA5872">
        <w:rPr>
          <w:rFonts w:ascii="宋体" w:hAnsi="宋体" w:hint="eastAsia"/>
          <w:sz w:val="24"/>
        </w:rPr>
        <w:t>年度利润总额为</w:t>
      </w:r>
      <w:r w:rsidRPr="004C01C6">
        <w:rPr>
          <w:rFonts w:ascii="宋体" w:hAnsi="宋体"/>
          <w:sz w:val="24"/>
        </w:rPr>
        <w:t>-134,032.51</w:t>
      </w:r>
      <w:r w:rsidRPr="00405DCA">
        <w:rPr>
          <w:rFonts w:ascii="宋体" w:hAnsi="宋体" w:hint="eastAsia"/>
          <w:sz w:val="24"/>
        </w:rPr>
        <w:t>万元</w:t>
      </w:r>
      <w:r w:rsidRPr="00CA5872">
        <w:rPr>
          <w:rFonts w:ascii="宋体" w:hAnsi="宋体" w:hint="eastAsia"/>
          <w:sz w:val="24"/>
        </w:rPr>
        <w:t>，归属于上市公司股东的净利润</w:t>
      </w:r>
      <w:r w:rsidRPr="004C01C6">
        <w:rPr>
          <w:rFonts w:ascii="宋体" w:hAnsi="宋体"/>
          <w:sz w:val="24"/>
        </w:rPr>
        <w:t>-123,153.78</w:t>
      </w:r>
      <w:r w:rsidRPr="00405DCA">
        <w:rPr>
          <w:rFonts w:ascii="宋体" w:hAnsi="宋体" w:hint="eastAsia"/>
          <w:sz w:val="24"/>
        </w:rPr>
        <w:t>万元</w:t>
      </w:r>
      <w:r w:rsidRPr="00CA5872">
        <w:rPr>
          <w:rFonts w:ascii="宋体" w:hAnsi="宋体" w:hint="eastAsia"/>
          <w:sz w:val="24"/>
        </w:rPr>
        <w:t>，上述数据已经大信会计师事务所（特殊普通合伙）审计。</w:t>
      </w:r>
    </w:p>
    <w:p w14:paraId="0CEC6AEA" w14:textId="77777777" w:rsidR="005B438D"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b/>
          <w:sz w:val="24"/>
          <w:szCs w:val="32"/>
        </w:rPr>
        <w:t>五、</w:t>
      </w:r>
      <w:r w:rsidRPr="00C630F7">
        <w:rPr>
          <w:rFonts w:ascii="Times New Roman" w:hAnsi="Times New Roman"/>
          <w:b/>
          <w:sz w:val="24"/>
          <w:szCs w:val="32"/>
        </w:rPr>
        <w:t>202</w:t>
      </w:r>
      <w:r w:rsidRPr="00C630F7">
        <w:rPr>
          <w:rFonts w:ascii="Times New Roman" w:hAnsi="Times New Roman" w:hint="eastAsia"/>
          <w:b/>
          <w:sz w:val="24"/>
          <w:szCs w:val="32"/>
        </w:rPr>
        <w:t>5</w:t>
      </w:r>
      <w:r w:rsidRPr="00C630F7">
        <w:rPr>
          <w:rFonts w:ascii="Times New Roman" w:hAnsi="Times New Roman"/>
          <w:b/>
          <w:sz w:val="24"/>
          <w:szCs w:val="32"/>
        </w:rPr>
        <w:t>年度计提资产减值准备合理性的说明</w:t>
      </w:r>
    </w:p>
    <w:p w14:paraId="64CE5CA9" w14:textId="77777777" w:rsidR="005B438D" w:rsidRDefault="005B438D" w:rsidP="005B438D">
      <w:pPr>
        <w:spacing w:beforeLines="50" w:before="156" w:afterLines="50" w:after="156" w:line="440" w:lineRule="exact"/>
        <w:ind w:firstLineChars="200" w:firstLine="480"/>
        <w:rPr>
          <w:rFonts w:ascii="宋体" w:hAnsi="宋体" w:hint="eastAsia"/>
          <w:sz w:val="24"/>
        </w:rPr>
      </w:pPr>
      <w:r>
        <w:rPr>
          <w:rFonts w:ascii="宋体" w:hAnsi="宋体"/>
          <w:sz w:val="24"/>
        </w:rPr>
        <w:t>本次计提资产减值准备符合《企业会计准则》等相关规定的要求，依据充分，体现了会计谨慎性原则，符合公司实际情况。本次计提资产减值准备后能更加公允地反映截至202</w:t>
      </w:r>
      <w:r>
        <w:rPr>
          <w:rFonts w:ascii="宋体" w:hAnsi="宋体" w:hint="eastAsia"/>
          <w:sz w:val="24"/>
        </w:rPr>
        <w:t>5</w:t>
      </w:r>
      <w:r>
        <w:rPr>
          <w:rFonts w:ascii="宋体" w:hAnsi="宋体"/>
          <w:sz w:val="24"/>
        </w:rPr>
        <w:t>年12月31日公司财务状况和资产价值，使公司的会计信息更具有合理性。</w:t>
      </w:r>
    </w:p>
    <w:p w14:paraId="6FBBF952" w14:textId="197B9A4D" w:rsidR="00025EEB"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hint="eastAsia"/>
          <w:b/>
          <w:sz w:val="24"/>
          <w:szCs w:val="32"/>
        </w:rPr>
        <w:t>六</w:t>
      </w:r>
      <w:r w:rsidR="00025EEB" w:rsidRPr="00C630F7">
        <w:rPr>
          <w:rFonts w:ascii="Times New Roman" w:hAnsi="Times New Roman" w:hint="eastAsia"/>
          <w:b/>
          <w:sz w:val="24"/>
          <w:szCs w:val="32"/>
        </w:rPr>
        <w:t>、决策程序</w:t>
      </w:r>
    </w:p>
    <w:p w14:paraId="2E737666" w14:textId="33B72D9E" w:rsidR="00353B24" w:rsidRPr="004652A1" w:rsidRDefault="00353B24" w:rsidP="00353B24">
      <w:pPr>
        <w:spacing w:beforeLines="50" w:before="156" w:afterLines="50" w:after="156" w:line="520" w:lineRule="exact"/>
        <w:ind w:firstLineChars="200" w:firstLine="480"/>
        <w:rPr>
          <w:rFonts w:ascii="Times New Roman" w:hAnsi="Times New Roman"/>
          <w:sz w:val="24"/>
        </w:rPr>
      </w:pPr>
      <w:r>
        <w:rPr>
          <w:rFonts w:ascii="Times New Roman" w:hAnsi="Times New Roman" w:hint="eastAsia"/>
          <w:sz w:val="24"/>
        </w:rPr>
        <w:t>1</w:t>
      </w:r>
      <w:r w:rsidRPr="004652A1">
        <w:rPr>
          <w:rFonts w:ascii="Times New Roman" w:hAnsi="Times New Roman"/>
          <w:sz w:val="24"/>
        </w:rPr>
        <w:t>、</w:t>
      </w:r>
      <w:r>
        <w:rPr>
          <w:rFonts w:ascii="Times New Roman" w:hAnsi="Times New Roman" w:hint="eastAsia"/>
          <w:sz w:val="24"/>
        </w:rPr>
        <w:t>董事会审计与风险管理委员会</w:t>
      </w:r>
      <w:r w:rsidRPr="004652A1">
        <w:rPr>
          <w:rFonts w:ascii="Times New Roman" w:hAnsi="Times New Roman"/>
          <w:sz w:val="24"/>
        </w:rPr>
        <w:t>审议情况</w:t>
      </w:r>
    </w:p>
    <w:p w14:paraId="1E91E9BE" w14:textId="2EE6B4C1" w:rsidR="00353B24" w:rsidRDefault="00353B24" w:rsidP="00353B24">
      <w:pPr>
        <w:spacing w:beforeLines="50" w:before="156" w:afterLines="50" w:after="156" w:line="520" w:lineRule="exact"/>
        <w:ind w:firstLineChars="200" w:firstLine="480"/>
        <w:rPr>
          <w:rFonts w:ascii="Times New Roman" w:hAnsi="Times New Roman"/>
          <w:sz w:val="24"/>
        </w:rPr>
      </w:pPr>
      <w:r>
        <w:rPr>
          <w:rFonts w:ascii="Times New Roman" w:hAnsi="Times New Roman" w:hint="eastAsia"/>
          <w:sz w:val="24"/>
        </w:rPr>
        <w:t>公司于</w:t>
      </w:r>
      <w:r>
        <w:rPr>
          <w:rFonts w:ascii="Times New Roman" w:hAnsi="Times New Roman" w:hint="eastAsia"/>
          <w:sz w:val="24"/>
        </w:rPr>
        <w:t>2026</w:t>
      </w:r>
      <w:r>
        <w:rPr>
          <w:rFonts w:ascii="Times New Roman" w:hAnsi="Times New Roman" w:hint="eastAsia"/>
          <w:sz w:val="24"/>
        </w:rPr>
        <w:t>年</w:t>
      </w:r>
      <w:r>
        <w:rPr>
          <w:rFonts w:ascii="Times New Roman" w:hAnsi="Times New Roman" w:hint="eastAsia"/>
          <w:sz w:val="24"/>
        </w:rPr>
        <w:t>3</w:t>
      </w:r>
      <w:r>
        <w:rPr>
          <w:rFonts w:ascii="Times New Roman" w:hAnsi="Times New Roman" w:hint="eastAsia"/>
          <w:sz w:val="24"/>
        </w:rPr>
        <w:t>月</w:t>
      </w:r>
      <w:r>
        <w:rPr>
          <w:rFonts w:ascii="Times New Roman" w:hAnsi="Times New Roman" w:hint="eastAsia"/>
          <w:sz w:val="24"/>
        </w:rPr>
        <w:t>26</w:t>
      </w:r>
      <w:r>
        <w:rPr>
          <w:rFonts w:ascii="Times New Roman" w:hAnsi="Times New Roman" w:hint="eastAsia"/>
          <w:sz w:val="24"/>
        </w:rPr>
        <w:t>日召开</w:t>
      </w:r>
      <w:r w:rsidRPr="004652A1">
        <w:rPr>
          <w:rFonts w:ascii="Times New Roman" w:hAnsi="Times New Roman"/>
          <w:sz w:val="24"/>
        </w:rPr>
        <w:t>第</w:t>
      </w:r>
      <w:r>
        <w:rPr>
          <w:rFonts w:ascii="Times New Roman" w:hAnsi="Times New Roman" w:hint="eastAsia"/>
          <w:sz w:val="24"/>
        </w:rPr>
        <w:t>八</w:t>
      </w:r>
      <w:r w:rsidRPr="004652A1">
        <w:rPr>
          <w:rFonts w:ascii="Times New Roman" w:hAnsi="Times New Roman"/>
          <w:sz w:val="24"/>
        </w:rPr>
        <w:t>届</w:t>
      </w:r>
      <w:r w:rsidRPr="00353B24">
        <w:rPr>
          <w:rFonts w:ascii="Times New Roman" w:hAnsi="Times New Roman" w:hint="eastAsia"/>
          <w:sz w:val="24"/>
        </w:rPr>
        <w:t>董事会审计与风险管理委员会</w:t>
      </w:r>
      <w:r w:rsidRPr="004652A1">
        <w:rPr>
          <w:rFonts w:ascii="Times New Roman" w:hAnsi="Times New Roman"/>
          <w:sz w:val="24"/>
        </w:rPr>
        <w:t>第</w:t>
      </w:r>
      <w:r>
        <w:rPr>
          <w:rFonts w:ascii="Times New Roman" w:hAnsi="Times New Roman" w:hint="eastAsia"/>
          <w:sz w:val="24"/>
        </w:rPr>
        <w:t>十</w:t>
      </w:r>
      <w:r w:rsidRPr="004652A1">
        <w:rPr>
          <w:rFonts w:ascii="Times New Roman" w:hAnsi="Times New Roman"/>
          <w:sz w:val="24"/>
        </w:rPr>
        <w:t>次会议</w:t>
      </w:r>
      <w:r>
        <w:rPr>
          <w:rFonts w:ascii="Times New Roman" w:hAnsi="Times New Roman" w:hint="eastAsia"/>
          <w:sz w:val="24"/>
        </w:rPr>
        <w:t>，</w:t>
      </w:r>
      <w:r w:rsidRPr="004652A1">
        <w:rPr>
          <w:rFonts w:ascii="Times New Roman" w:hAnsi="Times New Roman"/>
          <w:sz w:val="24"/>
        </w:rPr>
        <w:t>审议通过了</w:t>
      </w:r>
      <w:r w:rsidRPr="00025EEB">
        <w:rPr>
          <w:rFonts w:ascii="Times New Roman" w:hAnsi="Times New Roman"/>
          <w:sz w:val="24"/>
        </w:rPr>
        <w:t>《关于</w:t>
      </w:r>
      <w:r w:rsidRPr="00025EEB">
        <w:rPr>
          <w:rFonts w:ascii="Times New Roman" w:hAnsi="Times New Roman"/>
          <w:sz w:val="24"/>
        </w:rPr>
        <w:t>202</w:t>
      </w:r>
      <w:r>
        <w:rPr>
          <w:rFonts w:ascii="Times New Roman" w:hAnsi="Times New Roman" w:hint="eastAsia"/>
          <w:sz w:val="24"/>
        </w:rPr>
        <w:t>5</w:t>
      </w:r>
      <w:r w:rsidRPr="00025EEB">
        <w:rPr>
          <w:rFonts w:ascii="Times New Roman" w:hAnsi="Times New Roman"/>
          <w:sz w:val="24"/>
        </w:rPr>
        <w:t>年度计提资产减值准备的议案》</w:t>
      </w:r>
      <w:r>
        <w:rPr>
          <w:rFonts w:ascii="Times New Roman" w:hAnsi="Times New Roman"/>
          <w:sz w:val="24"/>
        </w:rPr>
        <w:t>。</w:t>
      </w:r>
    </w:p>
    <w:p w14:paraId="1958B6AD" w14:textId="29FD8176" w:rsidR="00025EEB" w:rsidRPr="004652A1" w:rsidRDefault="00353B24" w:rsidP="00025EEB">
      <w:pPr>
        <w:spacing w:beforeLines="50" w:before="156" w:afterLines="50" w:after="156" w:line="520" w:lineRule="exact"/>
        <w:ind w:firstLineChars="200" w:firstLine="480"/>
        <w:rPr>
          <w:rFonts w:ascii="Times New Roman" w:hAnsi="Times New Roman"/>
          <w:sz w:val="24"/>
        </w:rPr>
      </w:pPr>
      <w:r>
        <w:rPr>
          <w:rFonts w:ascii="Times New Roman" w:hAnsi="Times New Roman" w:hint="eastAsia"/>
          <w:sz w:val="24"/>
        </w:rPr>
        <w:t>2</w:t>
      </w:r>
      <w:r w:rsidR="00025EEB" w:rsidRPr="004652A1">
        <w:rPr>
          <w:rFonts w:ascii="Times New Roman" w:hAnsi="Times New Roman"/>
          <w:sz w:val="24"/>
        </w:rPr>
        <w:t>、董事会审议情况</w:t>
      </w:r>
    </w:p>
    <w:p w14:paraId="7B64D64C" w14:textId="26ED0EB1" w:rsidR="00025EEB" w:rsidRPr="004652A1" w:rsidRDefault="00353B24" w:rsidP="00025EEB">
      <w:pPr>
        <w:spacing w:beforeLines="50" w:before="156" w:afterLines="50" w:after="156" w:line="520" w:lineRule="exact"/>
        <w:ind w:firstLineChars="200" w:firstLine="480"/>
        <w:rPr>
          <w:rFonts w:ascii="Times New Roman" w:hAnsi="Times New Roman"/>
          <w:sz w:val="24"/>
        </w:rPr>
      </w:pPr>
      <w:r w:rsidRPr="00353B24">
        <w:rPr>
          <w:rFonts w:ascii="Times New Roman" w:hAnsi="Times New Roman" w:hint="eastAsia"/>
          <w:sz w:val="24"/>
        </w:rPr>
        <w:t>公司于</w:t>
      </w:r>
      <w:r w:rsidRPr="00353B24">
        <w:rPr>
          <w:rFonts w:ascii="Times New Roman" w:hAnsi="Times New Roman" w:hint="eastAsia"/>
          <w:sz w:val="24"/>
        </w:rPr>
        <w:t>2026</w:t>
      </w:r>
      <w:r w:rsidRPr="00353B24">
        <w:rPr>
          <w:rFonts w:ascii="Times New Roman" w:hAnsi="Times New Roman" w:hint="eastAsia"/>
          <w:sz w:val="24"/>
        </w:rPr>
        <w:t>年</w:t>
      </w:r>
      <w:r w:rsidRPr="00353B24">
        <w:rPr>
          <w:rFonts w:ascii="Times New Roman" w:hAnsi="Times New Roman" w:hint="eastAsia"/>
          <w:sz w:val="24"/>
        </w:rPr>
        <w:t>3</w:t>
      </w:r>
      <w:r w:rsidRPr="00353B24">
        <w:rPr>
          <w:rFonts w:ascii="Times New Roman" w:hAnsi="Times New Roman" w:hint="eastAsia"/>
          <w:sz w:val="24"/>
        </w:rPr>
        <w:t>月</w:t>
      </w:r>
      <w:r w:rsidRPr="00353B24">
        <w:rPr>
          <w:rFonts w:ascii="Times New Roman" w:hAnsi="Times New Roman" w:hint="eastAsia"/>
          <w:sz w:val="24"/>
        </w:rPr>
        <w:t>2</w:t>
      </w:r>
      <w:r>
        <w:rPr>
          <w:rFonts w:ascii="Times New Roman" w:hAnsi="Times New Roman" w:hint="eastAsia"/>
          <w:sz w:val="24"/>
        </w:rPr>
        <w:t>7</w:t>
      </w:r>
      <w:r w:rsidRPr="00353B24">
        <w:rPr>
          <w:rFonts w:ascii="Times New Roman" w:hAnsi="Times New Roman" w:hint="eastAsia"/>
          <w:sz w:val="24"/>
        </w:rPr>
        <w:t>日</w:t>
      </w:r>
      <w:r>
        <w:rPr>
          <w:rFonts w:ascii="Times New Roman" w:hAnsi="Times New Roman" w:hint="eastAsia"/>
          <w:sz w:val="24"/>
        </w:rPr>
        <w:t>召开</w:t>
      </w:r>
      <w:r w:rsidR="00025EEB" w:rsidRPr="004652A1">
        <w:rPr>
          <w:rFonts w:ascii="Times New Roman" w:hAnsi="Times New Roman"/>
          <w:sz w:val="24"/>
        </w:rPr>
        <w:t>第</w:t>
      </w:r>
      <w:r w:rsidR="00025EEB">
        <w:rPr>
          <w:rFonts w:ascii="Times New Roman" w:hAnsi="Times New Roman" w:hint="eastAsia"/>
          <w:sz w:val="24"/>
        </w:rPr>
        <w:t>八</w:t>
      </w:r>
      <w:r w:rsidR="00025EEB" w:rsidRPr="004652A1">
        <w:rPr>
          <w:rFonts w:ascii="Times New Roman" w:hAnsi="Times New Roman"/>
          <w:sz w:val="24"/>
        </w:rPr>
        <w:t>届董事会第</w:t>
      </w:r>
      <w:r>
        <w:rPr>
          <w:rFonts w:ascii="Times New Roman" w:hAnsi="Times New Roman" w:hint="eastAsia"/>
          <w:sz w:val="24"/>
        </w:rPr>
        <w:t>十</w:t>
      </w:r>
      <w:r w:rsidR="00025EEB">
        <w:rPr>
          <w:rFonts w:ascii="Times New Roman" w:hAnsi="Times New Roman" w:hint="eastAsia"/>
          <w:sz w:val="24"/>
        </w:rPr>
        <w:t>四</w:t>
      </w:r>
      <w:r w:rsidR="00025EEB" w:rsidRPr="004652A1">
        <w:rPr>
          <w:rFonts w:ascii="Times New Roman" w:hAnsi="Times New Roman"/>
          <w:sz w:val="24"/>
        </w:rPr>
        <w:t>次会议</w:t>
      </w:r>
      <w:r>
        <w:rPr>
          <w:rFonts w:ascii="Times New Roman" w:hAnsi="Times New Roman" w:hint="eastAsia"/>
          <w:sz w:val="24"/>
        </w:rPr>
        <w:t>，</w:t>
      </w:r>
      <w:r w:rsidR="00025EEB" w:rsidRPr="004652A1">
        <w:rPr>
          <w:rFonts w:ascii="Times New Roman" w:hAnsi="Times New Roman"/>
          <w:sz w:val="24"/>
        </w:rPr>
        <w:t>审议通过了《</w:t>
      </w:r>
      <w:r w:rsidR="00FA1F6E" w:rsidRPr="00025EEB">
        <w:rPr>
          <w:rFonts w:ascii="Times New Roman" w:hAnsi="Times New Roman"/>
          <w:sz w:val="24"/>
        </w:rPr>
        <w:t>关于</w:t>
      </w:r>
      <w:r w:rsidR="00FA1F6E" w:rsidRPr="00025EEB">
        <w:rPr>
          <w:rFonts w:ascii="Times New Roman" w:hAnsi="Times New Roman"/>
          <w:sz w:val="24"/>
        </w:rPr>
        <w:t>202</w:t>
      </w:r>
      <w:r>
        <w:rPr>
          <w:rFonts w:ascii="Times New Roman" w:hAnsi="Times New Roman" w:hint="eastAsia"/>
          <w:sz w:val="24"/>
        </w:rPr>
        <w:t>5</w:t>
      </w:r>
      <w:r w:rsidR="00FA1F6E" w:rsidRPr="00025EEB">
        <w:rPr>
          <w:rFonts w:ascii="Times New Roman" w:hAnsi="Times New Roman"/>
          <w:sz w:val="24"/>
        </w:rPr>
        <w:t>年度计提资产减值准备的议案</w:t>
      </w:r>
      <w:r w:rsidR="00025EEB">
        <w:rPr>
          <w:rFonts w:ascii="Times New Roman" w:hAnsi="Times New Roman" w:hint="eastAsia"/>
          <w:sz w:val="24"/>
        </w:rPr>
        <w:t>》</w:t>
      </w:r>
      <w:r w:rsidR="00025EEB" w:rsidRPr="00025EEB">
        <w:rPr>
          <w:rFonts w:ascii="Times New Roman" w:hAnsi="Times New Roman" w:hint="eastAsia"/>
          <w:sz w:val="24"/>
        </w:rPr>
        <w:t>。</w:t>
      </w:r>
    </w:p>
    <w:p w14:paraId="76FEC906" w14:textId="66538CFE" w:rsidR="00B50969" w:rsidRPr="00C630F7" w:rsidRDefault="005B438D" w:rsidP="00C630F7">
      <w:pPr>
        <w:spacing w:beforeLines="50" w:before="156" w:afterLines="50" w:after="156" w:line="420" w:lineRule="exact"/>
        <w:ind w:firstLineChars="200" w:firstLine="482"/>
        <w:outlineLvl w:val="0"/>
        <w:rPr>
          <w:rFonts w:ascii="Times New Roman" w:hAnsi="Times New Roman"/>
          <w:b/>
          <w:sz w:val="24"/>
          <w:szCs w:val="32"/>
        </w:rPr>
      </w:pPr>
      <w:r w:rsidRPr="00C630F7">
        <w:rPr>
          <w:rFonts w:ascii="Times New Roman" w:hAnsi="Times New Roman" w:hint="eastAsia"/>
          <w:b/>
          <w:sz w:val="24"/>
          <w:szCs w:val="32"/>
        </w:rPr>
        <w:t>七</w:t>
      </w:r>
      <w:r w:rsidR="00D87EA0" w:rsidRPr="00C630F7">
        <w:rPr>
          <w:rFonts w:ascii="Times New Roman" w:hAnsi="Times New Roman"/>
          <w:b/>
          <w:sz w:val="24"/>
          <w:szCs w:val="32"/>
        </w:rPr>
        <w:t>、备查文件</w:t>
      </w:r>
      <w:r w:rsidR="00D87EA0" w:rsidRPr="00C630F7">
        <w:rPr>
          <w:rFonts w:ascii="Times New Roman" w:hAnsi="Times New Roman"/>
          <w:b/>
          <w:sz w:val="24"/>
          <w:szCs w:val="32"/>
        </w:rPr>
        <w:t xml:space="preserve"> </w:t>
      </w:r>
    </w:p>
    <w:p w14:paraId="0BE42F24" w14:textId="469274DF" w:rsidR="00025EEB" w:rsidRPr="004652A1" w:rsidRDefault="00025EEB" w:rsidP="00025EEB">
      <w:pPr>
        <w:spacing w:beforeLines="50" w:before="156" w:afterLines="50" w:after="156" w:line="520" w:lineRule="exact"/>
        <w:ind w:firstLineChars="200" w:firstLine="480"/>
        <w:rPr>
          <w:rFonts w:ascii="Times New Roman" w:hAnsi="Times New Roman"/>
          <w:sz w:val="24"/>
        </w:rPr>
      </w:pPr>
      <w:r w:rsidRPr="004652A1">
        <w:rPr>
          <w:rFonts w:ascii="Times New Roman" w:hAnsi="Times New Roman"/>
          <w:sz w:val="24"/>
        </w:rPr>
        <w:t>1</w:t>
      </w:r>
      <w:r w:rsidRPr="004652A1">
        <w:rPr>
          <w:rFonts w:ascii="Times New Roman" w:hAnsi="Times New Roman"/>
          <w:sz w:val="24"/>
        </w:rPr>
        <w:t>、公司</w:t>
      </w:r>
      <w:r w:rsidR="00353B24" w:rsidRPr="00353B24">
        <w:rPr>
          <w:rFonts w:ascii="Times New Roman" w:hAnsi="Times New Roman" w:hint="eastAsia"/>
          <w:sz w:val="24"/>
        </w:rPr>
        <w:t>第八届董事会审计与风险管理委员会第十次会议</w:t>
      </w:r>
      <w:r w:rsidRPr="004652A1">
        <w:rPr>
          <w:rFonts w:ascii="Times New Roman" w:hAnsi="Times New Roman"/>
          <w:sz w:val="24"/>
        </w:rPr>
        <w:t>决议</w:t>
      </w:r>
      <w:r w:rsidR="00353B24">
        <w:rPr>
          <w:rFonts w:ascii="Times New Roman" w:hAnsi="Times New Roman" w:hint="eastAsia"/>
          <w:sz w:val="24"/>
        </w:rPr>
        <w:t>；</w:t>
      </w:r>
    </w:p>
    <w:p w14:paraId="4BF13CF0" w14:textId="09F561F9" w:rsidR="00025EEB" w:rsidRPr="004652A1" w:rsidRDefault="00025EEB" w:rsidP="00025EEB">
      <w:pPr>
        <w:spacing w:beforeLines="50" w:before="156" w:afterLines="50" w:after="156" w:line="520" w:lineRule="exact"/>
        <w:ind w:firstLineChars="200" w:firstLine="480"/>
        <w:rPr>
          <w:rFonts w:ascii="Times New Roman" w:hAnsi="Times New Roman"/>
          <w:sz w:val="24"/>
        </w:rPr>
      </w:pPr>
      <w:r w:rsidRPr="004652A1">
        <w:rPr>
          <w:rFonts w:ascii="Times New Roman" w:hAnsi="Times New Roman"/>
          <w:sz w:val="24"/>
        </w:rPr>
        <w:t>2</w:t>
      </w:r>
      <w:r w:rsidRPr="004652A1">
        <w:rPr>
          <w:rFonts w:ascii="Times New Roman" w:hAnsi="Times New Roman"/>
          <w:sz w:val="24"/>
        </w:rPr>
        <w:t>、公司</w:t>
      </w:r>
      <w:r w:rsidR="00353B24" w:rsidRPr="00353B24">
        <w:rPr>
          <w:rFonts w:ascii="Times New Roman" w:hAnsi="Times New Roman" w:hint="eastAsia"/>
          <w:sz w:val="24"/>
        </w:rPr>
        <w:t>第八届董事会第十四次会议</w:t>
      </w:r>
      <w:r w:rsidRPr="004652A1">
        <w:rPr>
          <w:rFonts w:ascii="Times New Roman" w:hAnsi="Times New Roman"/>
          <w:sz w:val="24"/>
        </w:rPr>
        <w:t>决议。</w:t>
      </w:r>
    </w:p>
    <w:p w14:paraId="317CEC29" w14:textId="77777777" w:rsidR="00B50969" w:rsidRPr="00025EEB" w:rsidRDefault="00B50969">
      <w:pPr>
        <w:spacing w:beforeLines="50" w:before="156" w:afterLines="50" w:after="156" w:line="440" w:lineRule="exact"/>
        <w:ind w:firstLineChars="200" w:firstLine="480"/>
        <w:rPr>
          <w:rFonts w:ascii="Times New Roman" w:hAnsi="Times New Roman"/>
          <w:sz w:val="24"/>
        </w:rPr>
      </w:pPr>
    </w:p>
    <w:bookmarkEnd w:id="0"/>
    <w:p w14:paraId="207CADD9" w14:textId="77777777" w:rsidR="00B50969" w:rsidRDefault="00D87EA0">
      <w:pPr>
        <w:spacing w:beforeLines="50" w:before="156" w:afterLines="50" w:after="156" w:line="440" w:lineRule="exact"/>
        <w:ind w:firstLineChars="200" w:firstLine="480"/>
        <w:rPr>
          <w:rFonts w:ascii="Times New Roman" w:hAnsi="Times New Roman"/>
          <w:sz w:val="24"/>
        </w:rPr>
      </w:pPr>
      <w:r>
        <w:rPr>
          <w:rFonts w:ascii="Times New Roman" w:hAnsi="Times New Roman"/>
          <w:sz w:val="24"/>
        </w:rPr>
        <w:t>特此公告。</w:t>
      </w:r>
    </w:p>
    <w:p w14:paraId="6A262636" w14:textId="77777777" w:rsidR="00B50969" w:rsidRDefault="00B50969">
      <w:pPr>
        <w:spacing w:beforeLines="50" w:before="156" w:afterLines="50" w:after="156" w:line="440" w:lineRule="exact"/>
        <w:ind w:firstLineChars="200" w:firstLine="480"/>
        <w:rPr>
          <w:rFonts w:ascii="Times New Roman" w:hAnsi="Times New Roman"/>
          <w:sz w:val="24"/>
        </w:rPr>
      </w:pPr>
    </w:p>
    <w:p w14:paraId="5494D14A" w14:textId="77777777" w:rsidR="00B50969" w:rsidRDefault="00D87EA0">
      <w:pPr>
        <w:spacing w:beforeLines="50" w:before="156" w:afterLines="50" w:after="156" w:line="440" w:lineRule="exact"/>
        <w:ind w:firstLineChars="200" w:firstLine="480"/>
        <w:jc w:val="right"/>
        <w:rPr>
          <w:rFonts w:ascii="Times New Roman" w:hAnsi="Times New Roman"/>
          <w:sz w:val="24"/>
        </w:rPr>
      </w:pPr>
      <w:r>
        <w:rPr>
          <w:rFonts w:ascii="Times New Roman" w:hAnsi="Times New Roman"/>
          <w:sz w:val="24"/>
        </w:rPr>
        <w:t>东江环保股份有限公司董事会</w:t>
      </w:r>
    </w:p>
    <w:bookmarkEnd w:id="1"/>
    <w:bookmarkEnd w:id="2"/>
    <w:p w14:paraId="6C2DDE65" w14:textId="4617A76E" w:rsidR="00B50969" w:rsidRDefault="00D87EA0">
      <w:pPr>
        <w:spacing w:beforeLines="50" w:before="156" w:afterLines="50" w:after="156" w:line="440" w:lineRule="exact"/>
        <w:ind w:firstLineChars="200" w:firstLine="480"/>
        <w:jc w:val="right"/>
        <w:rPr>
          <w:rFonts w:ascii="Times New Roman" w:hAnsi="Times New Roman"/>
          <w:sz w:val="24"/>
        </w:rPr>
      </w:pPr>
      <w:r>
        <w:rPr>
          <w:rFonts w:ascii="Times New Roman" w:hAnsi="Times New Roman"/>
          <w:sz w:val="24"/>
        </w:rPr>
        <w:t>202</w:t>
      </w:r>
      <w:r w:rsidR="00353B24">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sidR="00353B24">
        <w:rPr>
          <w:rFonts w:ascii="Times New Roman" w:hAnsi="Times New Roman" w:hint="eastAsia"/>
          <w:sz w:val="24"/>
        </w:rPr>
        <w:t>28</w:t>
      </w:r>
      <w:r>
        <w:rPr>
          <w:rFonts w:ascii="Times New Roman" w:hAnsi="Times New Roman"/>
          <w:sz w:val="24"/>
        </w:rPr>
        <w:t>日</w:t>
      </w:r>
    </w:p>
    <w:sectPr w:rsidR="00B50969">
      <w:pgSz w:w="11906" w:h="16838"/>
      <w:pgMar w:top="1440" w:right="1800" w:bottom="1440" w:left="1800" w:header="709" w:footer="893"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F444" w14:textId="77777777" w:rsidR="00BB6BE1" w:rsidRDefault="00BB6BE1" w:rsidP="00A514A0">
      <w:r>
        <w:separator/>
      </w:r>
    </w:p>
  </w:endnote>
  <w:endnote w:type="continuationSeparator" w:id="0">
    <w:p w14:paraId="6522B28E" w14:textId="77777777" w:rsidR="00BB6BE1" w:rsidRDefault="00BB6BE1" w:rsidP="00A5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F0A9" w14:textId="77777777" w:rsidR="00BB6BE1" w:rsidRDefault="00BB6BE1" w:rsidP="00A514A0">
      <w:r>
        <w:separator/>
      </w:r>
    </w:p>
  </w:footnote>
  <w:footnote w:type="continuationSeparator" w:id="0">
    <w:p w14:paraId="50499454" w14:textId="77777777" w:rsidR="00BB6BE1" w:rsidRDefault="00BB6BE1" w:rsidP="00A51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74145"/>
    <w:multiLevelType w:val="singleLevel"/>
    <w:tmpl w:val="59B74145"/>
    <w:lvl w:ilvl="0">
      <w:start w:val="3"/>
      <w:numFmt w:val="chineseCounting"/>
      <w:suff w:val="nothing"/>
      <w:lvlText w:val="%1、"/>
      <w:lvlJc w:val="left"/>
      <w:rPr>
        <w:rFonts w:hint="eastAsia"/>
      </w:rPr>
    </w:lvl>
  </w:abstractNum>
  <w:num w:numId="1" w16cid:durableId="13616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99A"/>
    <w:rsid w:val="0000161E"/>
    <w:rsid w:val="000025D6"/>
    <w:rsid w:val="00002C49"/>
    <w:rsid w:val="00002C8E"/>
    <w:rsid w:val="00002F98"/>
    <w:rsid w:val="0000394B"/>
    <w:rsid w:val="00003D56"/>
    <w:rsid w:val="00004B57"/>
    <w:rsid w:val="000055D9"/>
    <w:rsid w:val="000068B5"/>
    <w:rsid w:val="000072BC"/>
    <w:rsid w:val="00010073"/>
    <w:rsid w:val="0001083A"/>
    <w:rsid w:val="00010FCF"/>
    <w:rsid w:val="00011747"/>
    <w:rsid w:val="000139E7"/>
    <w:rsid w:val="00014877"/>
    <w:rsid w:val="00014F68"/>
    <w:rsid w:val="00015C1E"/>
    <w:rsid w:val="00015FC4"/>
    <w:rsid w:val="00017113"/>
    <w:rsid w:val="00017C2E"/>
    <w:rsid w:val="0002099F"/>
    <w:rsid w:val="00021759"/>
    <w:rsid w:val="0002207D"/>
    <w:rsid w:val="000224CD"/>
    <w:rsid w:val="000228E0"/>
    <w:rsid w:val="000245A6"/>
    <w:rsid w:val="000245AE"/>
    <w:rsid w:val="00024E0C"/>
    <w:rsid w:val="000257B8"/>
    <w:rsid w:val="00025CF6"/>
    <w:rsid w:val="00025EEB"/>
    <w:rsid w:val="00026D8F"/>
    <w:rsid w:val="00027981"/>
    <w:rsid w:val="00027F7C"/>
    <w:rsid w:val="000301E6"/>
    <w:rsid w:val="00030418"/>
    <w:rsid w:val="0003093E"/>
    <w:rsid w:val="000326DD"/>
    <w:rsid w:val="0003279D"/>
    <w:rsid w:val="000355EB"/>
    <w:rsid w:val="0003571B"/>
    <w:rsid w:val="000361FF"/>
    <w:rsid w:val="00040DA7"/>
    <w:rsid w:val="00041C26"/>
    <w:rsid w:val="00041E80"/>
    <w:rsid w:val="0004214E"/>
    <w:rsid w:val="0004321B"/>
    <w:rsid w:val="00043C1D"/>
    <w:rsid w:val="000441AE"/>
    <w:rsid w:val="00044FB0"/>
    <w:rsid w:val="000479D6"/>
    <w:rsid w:val="0005005C"/>
    <w:rsid w:val="00050C51"/>
    <w:rsid w:val="00051807"/>
    <w:rsid w:val="00052E00"/>
    <w:rsid w:val="00054C35"/>
    <w:rsid w:val="00054CE1"/>
    <w:rsid w:val="00056493"/>
    <w:rsid w:val="000567B1"/>
    <w:rsid w:val="000571F7"/>
    <w:rsid w:val="00057849"/>
    <w:rsid w:val="00057D6D"/>
    <w:rsid w:val="00060390"/>
    <w:rsid w:val="0006235C"/>
    <w:rsid w:val="00064B73"/>
    <w:rsid w:val="00064D3E"/>
    <w:rsid w:val="00066722"/>
    <w:rsid w:val="0006719D"/>
    <w:rsid w:val="000677AD"/>
    <w:rsid w:val="000715B1"/>
    <w:rsid w:val="000717CB"/>
    <w:rsid w:val="00071DB4"/>
    <w:rsid w:val="0007224C"/>
    <w:rsid w:val="00073A7C"/>
    <w:rsid w:val="0007533F"/>
    <w:rsid w:val="00077D71"/>
    <w:rsid w:val="00080090"/>
    <w:rsid w:val="000808D4"/>
    <w:rsid w:val="00081132"/>
    <w:rsid w:val="00082833"/>
    <w:rsid w:val="00082F6A"/>
    <w:rsid w:val="00084EFC"/>
    <w:rsid w:val="00085A04"/>
    <w:rsid w:val="0009043B"/>
    <w:rsid w:val="00090D81"/>
    <w:rsid w:val="00090DD0"/>
    <w:rsid w:val="00092D8A"/>
    <w:rsid w:val="00092FE3"/>
    <w:rsid w:val="0009319E"/>
    <w:rsid w:val="000935CB"/>
    <w:rsid w:val="000939C8"/>
    <w:rsid w:val="00093E83"/>
    <w:rsid w:val="00093FA8"/>
    <w:rsid w:val="0009638F"/>
    <w:rsid w:val="00096A7F"/>
    <w:rsid w:val="00097448"/>
    <w:rsid w:val="00097717"/>
    <w:rsid w:val="00097DCF"/>
    <w:rsid w:val="000A0110"/>
    <w:rsid w:val="000A0BC2"/>
    <w:rsid w:val="000A1872"/>
    <w:rsid w:val="000A24DC"/>
    <w:rsid w:val="000A264C"/>
    <w:rsid w:val="000A4357"/>
    <w:rsid w:val="000A528D"/>
    <w:rsid w:val="000A5CDB"/>
    <w:rsid w:val="000A64EE"/>
    <w:rsid w:val="000B01C3"/>
    <w:rsid w:val="000B0DA7"/>
    <w:rsid w:val="000B150D"/>
    <w:rsid w:val="000B1E86"/>
    <w:rsid w:val="000B2070"/>
    <w:rsid w:val="000B2E2C"/>
    <w:rsid w:val="000B335F"/>
    <w:rsid w:val="000B504E"/>
    <w:rsid w:val="000B6283"/>
    <w:rsid w:val="000B71EE"/>
    <w:rsid w:val="000B7EB1"/>
    <w:rsid w:val="000B7F8B"/>
    <w:rsid w:val="000C1047"/>
    <w:rsid w:val="000C1A7F"/>
    <w:rsid w:val="000C3F4C"/>
    <w:rsid w:val="000C4AF3"/>
    <w:rsid w:val="000C4EC1"/>
    <w:rsid w:val="000C628D"/>
    <w:rsid w:val="000C6435"/>
    <w:rsid w:val="000C6567"/>
    <w:rsid w:val="000C6D6C"/>
    <w:rsid w:val="000D24FB"/>
    <w:rsid w:val="000D2533"/>
    <w:rsid w:val="000D3F38"/>
    <w:rsid w:val="000D4447"/>
    <w:rsid w:val="000D49EE"/>
    <w:rsid w:val="000D4E92"/>
    <w:rsid w:val="000D54B4"/>
    <w:rsid w:val="000D5971"/>
    <w:rsid w:val="000E07F2"/>
    <w:rsid w:val="000E1BDB"/>
    <w:rsid w:val="000E2973"/>
    <w:rsid w:val="000E3175"/>
    <w:rsid w:val="000E3C72"/>
    <w:rsid w:val="000E6A25"/>
    <w:rsid w:val="000F0C1A"/>
    <w:rsid w:val="000F1AC4"/>
    <w:rsid w:val="000F34BB"/>
    <w:rsid w:val="000F3FD4"/>
    <w:rsid w:val="000F4204"/>
    <w:rsid w:val="000F47EC"/>
    <w:rsid w:val="000F6081"/>
    <w:rsid w:val="000F6849"/>
    <w:rsid w:val="001002A4"/>
    <w:rsid w:val="00100354"/>
    <w:rsid w:val="00100616"/>
    <w:rsid w:val="00100B4D"/>
    <w:rsid w:val="00100D27"/>
    <w:rsid w:val="00101990"/>
    <w:rsid w:val="00101A1A"/>
    <w:rsid w:val="00103637"/>
    <w:rsid w:val="0010514F"/>
    <w:rsid w:val="00106F4F"/>
    <w:rsid w:val="001079AD"/>
    <w:rsid w:val="001112DE"/>
    <w:rsid w:val="00112528"/>
    <w:rsid w:val="0011268E"/>
    <w:rsid w:val="00112A94"/>
    <w:rsid w:val="001130B6"/>
    <w:rsid w:val="00114238"/>
    <w:rsid w:val="0011534C"/>
    <w:rsid w:val="00117035"/>
    <w:rsid w:val="00117063"/>
    <w:rsid w:val="00117FD7"/>
    <w:rsid w:val="00120048"/>
    <w:rsid w:val="001205A7"/>
    <w:rsid w:val="0012267F"/>
    <w:rsid w:val="00122D7F"/>
    <w:rsid w:val="00122F04"/>
    <w:rsid w:val="00124964"/>
    <w:rsid w:val="00125225"/>
    <w:rsid w:val="00125636"/>
    <w:rsid w:val="00125712"/>
    <w:rsid w:val="00126026"/>
    <w:rsid w:val="00126A89"/>
    <w:rsid w:val="00126E1D"/>
    <w:rsid w:val="00127599"/>
    <w:rsid w:val="00127938"/>
    <w:rsid w:val="00127FFD"/>
    <w:rsid w:val="001301BE"/>
    <w:rsid w:val="00130263"/>
    <w:rsid w:val="001302AC"/>
    <w:rsid w:val="00130960"/>
    <w:rsid w:val="0013316B"/>
    <w:rsid w:val="001342FB"/>
    <w:rsid w:val="00134BC9"/>
    <w:rsid w:val="001357C4"/>
    <w:rsid w:val="001359BA"/>
    <w:rsid w:val="00136BC5"/>
    <w:rsid w:val="0014013C"/>
    <w:rsid w:val="00140335"/>
    <w:rsid w:val="001406CB"/>
    <w:rsid w:val="001408CA"/>
    <w:rsid w:val="00141754"/>
    <w:rsid w:val="00142038"/>
    <w:rsid w:val="001421AF"/>
    <w:rsid w:val="0014269A"/>
    <w:rsid w:val="001439E7"/>
    <w:rsid w:val="00143A99"/>
    <w:rsid w:val="001457C6"/>
    <w:rsid w:val="00145BC9"/>
    <w:rsid w:val="00146E5B"/>
    <w:rsid w:val="00147204"/>
    <w:rsid w:val="00151356"/>
    <w:rsid w:val="00151E71"/>
    <w:rsid w:val="00160F19"/>
    <w:rsid w:val="00165848"/>
    <w:rsid w:val="00166257"/>
    <w:rsid w:val="00167E0F"/>
    <w:rsid w:val="00171B93"/>
    <w:rsid w:val="00172CCD"/>
    <w:rsid w:val="00174E5C"/>
    <w:rsid w:val="00175309"/>
    <w:rsid w:val="001755B3"/>
    <w:rsid w:val="00176C31"/>
    <w:rsid w:val="00181CE6"/>
    <w:rsid w:val="00182D3A"/>
    <w:rsid w:val="00183393"/>
    <w:rsid w:val="00183567"/>
    <w:rsid w:val="0018377B"/>
    <w:rsid w:val="00184ECF"/>
    <w:rsid w:val="001853D0"/>
    <w:rsid w:val="00186577"/>
    <w:rsid w:val="00186F35"/>
    <w:rsid w:val="001870EA"/>
    <w:rsid w:val="0018737C"/>
    <w:rsid w:val="001908B6"/>
    <w:rsid w:val="001913C2"/>
    <w:rsid w:val="00192E81"/>
    <w:rsid w:val="00192FC7"/>
    <w:rsid w:val="00194337"/>
    <w:rsid w:val="00195023"/>
    <w:rsid w:val="00195106"/>
    <w:rsid w:val="00195DAA"/>
    <w:rsid w:val="00197C85"/>
    <w:rsid w:val="001A0563"/>
    <w:rsid w:val="001A0BAF"/>
    <w:rsid w:val="001A15A0"/>
    <w:rsid w:val="001A19DA"/>
    <w:rsid w:val="001A276B"/>
    <w:rsid w:val="001A3A8F"/>
    <w:rsid w:val="001A3C41"/>
    <w:rsid w:val="001A3CDD"/>
    <w:rsid w:val="001A4FF6"/>
    <w:rsid w:val="001A57CD"/>
    <w:rsid w:val="001A76D6"/>
    <w:rsid w:val="001A7A1C"/>
    <w:rsid w:val="001A7C52"/>
    <w:rsid w:val="001B0579"/>
    <w:rsid w:val="001B1011"/>
    <w:rsid w:val="001B11AC"/>
    <w:rsid w:val="001B14DA"/>
    <w:rsid w:val="001B314F"/>
    <w:rsid w:val="001B3358"/>
    <w:rsid w:val="001B3BFF"/>
    <w:rsid w:val="001B40E0"/>
    <w:rsid w:val="001B4B65"/>
    <w:rsid w:val="001B60BD"/>
    <w:rsid w:val="001B7B12"/>
    <w:rsid w:val="001C0489"/>
    <w:rsid w:val="001C4034"/>
    <w:rsid w:val="001C4216"/>
    <w:rsid w:val="001C4A8B"/>
    <w:rsid w:val="001C79DF"/>
    <w:rsid w:val="001D03B8"/>
    <w:rsid w:val="001D11EA"/>
    <w:rsid w:val="001D1D8D"/>
    <w:rsid w:val="001D20E6"/>
    <w:rsid w:val="001D23C1"/>
    <w:rsid w:val="001D2E91"/>
    <w:rsid w:val="001D2F6E"/>
    <w:rsid w:val="001D51A8"/>
    <w:rsid w:val="001D536A"/>
    <w:rsid w:val="001D6980"/>
    <w:rsid w:val="001D7160"/>
    <w:rsid w:val="001D7798"/>
    <w:rsid w:val="001E02A7"/>
    <w:rsid w:val="001E1CC5"/>
    <w:rsid w:val="001E574D"/>
    <w:rsid w:val="001E6419"/>
    <w:rsid w:val="001E6D9B"/>
    <w:rsid w:val="001E7D00"/>
    <w:rsid w:val="001F02D4"/>
    <w:rsid w:val="001F04DE"/>
    <w:rsid w:val="001F1221"/>
    <w:rsid w:val="001F20FF"/>
    <w:rsid w:val="001F2F89"/>
    <w:rsid w:val="001F57BD"/>
    <w:rsid w:val="001F5F03"/>
    <w:rsid w:val="001F7B46"/>
    <w:rsid w:val="002008C9"/>
    <w:rsid w:val="00201DF6"/>
    <w:rsid w:val="00202002"/>
    <w:rsid w:val="00202379"/>
    <w:rsid w:val="0020239C"/>
    <w:rsid w:val="002026D1"/>
    <w:rsid w:val="002032B9"/>
    <w:rsid w:val="002065A7"/>
    <w:rsid w:val="00206D41"/>
    <w:rsid w:val="002073AA"/>
    <w:rsid w:val="00207CEC"/>
    <w:rsid w:val="00210777"/>
    <w:rsid w:val="00210E5F"/>
    <w:rsid w:val="002116BD"/>
    <w:rsid w:val="0021383F"/>
    <w:rsid w:val="0021446F"/>
    <w:rsid w:val="0021554B"/>
    <w:rsid w:val="002171C3"/>
    <w:rsid w:val="002217E9"/>
    <w:rsid w:val="00223777"/>
    <w:rsid w:val="002238AF"/>
    <w:rsid w:val="00224388"/>
    <w:rsid w:val="00224C01"/>
    <w:rsid w:val="0022502F"/>
    <w:rsid w:val="0022551E"/>
    <w:rsid w:val="0022590C"/>
    <w:rsid w:val="002261C7"/>
    <w:rsid w:val="00226F7A"/>
    <w:rsid w:val="00232BA8"/>
    <w:rsid w:val="0023368B"/>
    <w:rsid w:val="00233E99"/>
    <w:rsid w:val="00235AD8"/>
    <w:rsid w:val="002367F7"/>
    <w:rsid w:val="00240377"/>
    <w:rsid w:val="00240AE7"/>
    <w:rsid w:val="0024172B"/>
    <w:rsid w:val="00242583"/>
    <w:rsid w:val="00244502"/>
    <w:rsid w:val="002458D1"/>
    <w:rsid w:val="0024676A"/>
    <w:rsid w:val="00246926"/>
    <w:rsid w:val="00246C47"/>
    <w:rsid w:val="00246EBE"/>
    <w:rsid w:val="00251A08"/>
    <w:rsid w:val="00252D93"/>
    <w:rsid w:val="002542B5"/>
    <w:rsid w:val="00254407"/>
    <w:rsid w:val="00254C04"/>
    <w:rsid w:val="00256B8F"/>
    <w:rsid w:val="002608CF"/>
    <w:rsid w:val="00260BB3"/>
    <w:rsid w:val="00260E74"/>
    <w:rsid w:val="00260F01"/>
    <w:rsid w:val="0026173D"/>
    <w:rsid w:val="00263E11"/>
    <w:rsid w:val="00264079"/>
    <w:rsid w:val="0026410F"/>
    <w:rsid w:val="002650AC"/>
    <w:rsid w:val="00266215"/>
    <w:rsid w:val="00267CEA"/>
    <w:rsid w:val="00270C12"/>
    <w:rsid w:val="002716B9"/>
    <w:rsid w:val="00271B5F"/>
    <w:rsid w:val="00272214"/>
    <w:rsid w:val="00272354"/>
    <w:rsid w:val="002723C1"/>
    <w:rsid w:val="00272457"/>
    <w:rsid w:val="00272CA9"/>
    <w:rsid w:val="00273999"/>
    <w:rsid w:val="002753E2"/>
    <w:rsid w:val="00275509"/>
    <w:rsid w:val="00275AD8"/>
    <w:rsid w:val="0027638C"/>
    <w:rsid w:val="00277592"/>
    <w:rsid w:val="002804FA"/>
    <w:rsid w:val="00280EAC"/>
    <w:rsid w:val="00281468"/>
    <w:rsid w:val="00282AE6"/>
    <w:rsid w:val="00284A3C"/>
    <w:rsid w:val="00285A8B"/>
    <w:rsid w:val="00286288"/>
    <w:rsid w:val="00286BCB"/>
    <w:rsid w:val="00286CC4"/>
    <w:rsid w:val="00286E3B"/>
    <w:rsid w:val="00287BB5"/>
    <w:rsid w:val="00290823"/>
    <w:rsid w:val="002915CC"/>
    <w:rsid w:val="00292769"/>
    <w:rsid w:val="0029299E"/>
    <w:rsid w:val="00292AAF"/>
    <w:rsid w:val="002936D7"/>
    <w:rsid w:val="00293795"/>
    <w:rsid w:val="0029483E"/>
    <w:rsid w:val="0029532B"/>
    <w:rsid w:val="0029553C"/>
    <w:rsid w:val="00296D82"/>
    <w:rsid w:val="002977FA"/>
    <w:rsid w:val="002A1D7C"/>
    <w:rsid w:val="002A2F5A"/>
    <w:rsid w:val="002A4C81"/>
    <w:rsid w:val="002A5511"/>
    <w:rsid w:val="002A57FF"/>
    <w:rsid w:val="002A72A5"/>
    <w:rsid w:val="002A78FE"/>
    <w:rsid w:val="002A79C3"/>
    <w:rsid w:val="002B0873"/>
    <w:rsid w:val="002B1C66"/>
    <w:rsid w:val="002B31A4"/>
    <w:rsid w:val="002B5ACF"/>
    <w:rsid w:val="002B611C"/>
    <w:rsid w:val="002C080A"/>
    <w:rsid w:val="002C0A77"/>
    <w:rsid w:val="002C21C4"/>
    <w:rsid w:val="002C2478"/>
    <w:rsid w:val="002C42F1"/>
    <w:rsid w:val="002C4F92"/>
    <w:rsid w:val="002C51F4"/>
    <w:rsid w:val="002D039E"/>
    <w:rsid w:val="002D145C"/>
    <w:rsid w:val="002D18A0"/>
    <w:rsid w:val="002D3257"/>
    <w:rsid w:val="002D3445"/>
    <w:rsid w:val="002D38AA"/>
    <w:rsid w:val="002D4129"/>
    <w:rsid w:val="002D55EC"/>
    <w:rsid w:val="002E189E"/>
    <w:rsid w:val="002E18E0"/>
    <w:rsid w:val="002E4826"/>
    <w:rsid w:val="002E5981"/>
    <w:rsid w:val="002E5D65"/>
    <w:rsid w:val="002E6301"/>
    <w:rsid w:val="002F05F2"/>
    <w:rsid w:val="002F07F8"/>
    <w:rsid w:val="002F0956"/>
    <w:rsid w:val="002F132F"/>
    <w:rsid w:val="002F3CAE"/>
    <w:rsid w:val="002F3D3F"/>
    <w:rsid w:val="003003A1"/>
    <w:rsid w:val="00300F8A"/>
    <w:rsid w:val="00301C55"/>
    <w:rsid w:val="00304665"/>
    <w:rsid w:val="00305726"/>
    <w:rsid w:val="00305862"/>
    <w:rsid w:val="00310F25"/>
    <w:rsid w:val="003120FC"/>
    <w:rsid w:val="00312A4B"/>
    <w:rsid w:val="00312C74"/>
    <w:rsid w:val="00312F2D"/>
    <w:rsid w:val="00313EB4"/>
    <w:rsid w:val="00313FF3"/>
    <w:rsid w:val="003157CB"/>
    <w:rsid w:val="00315B65"/>
    <w:rsid w:val="00315CE4"/>
    <w:rsid w:val="00316367"/>
    <w:rsid w:val="0031776A"/>
    <w:rsid w:val="00317CFC"/>
    <w:rsid w:val="00325E13"/>
    <w:rsid w:val="003260C9"/>
    <w:rsid w:val="00330E1D"/>
    <w:rsid w:val="00330FE2"/>
    <w:rsid w:val="00332741"/>
    <w:rsid w:val="0033286A"/>
    <w:rsid w:val="00332AE8"/>
    <w:rsid w:val="00332BA5"/>
    <w:rsid w:val="00333284"/>
    <w:rsid w:val="00334297"/>
    <w:rsid w:val="00334D77"/>
    <w:rsid w:val="00336782"/>
    <w:rsid w:val="00336A38"/>
    <w:rsid w:val="00337CA3"/>
    <w:rsid w:val="0034069E"/>
    <w:rsid w:val="003406EE"/>
    <w:rsid w:val="00342274"/>
    <w:rsid w:val="003427EF"/>
    <w:rsid w:val="00342B69"/>
    <w:rsid w:val="0034391E"/>
    <w:rsid w:val="00343A4F"/>
    <w:rsid w:val="00343C6D"/>
    <w:rsid w:val="00344426"/>
    <w:rsid w:val="003457D3"/>
    <w:rsid w:val="00346B19"/>
    <w:rsid w:val="003506D3"/>
    <w:rsid w:val="00350CE0"/>
    <w:rsid w:val="00350E50"/>
    <w:rsid w:val="00352FCD"/>
    <w:rsid w:val="003533B2"/>
    <w:rsid w:val="00353B24"/>
    <w:rsid w:val="003542ED"/>
    <w:rsid w:val="003554F3"/>
    <w:rsid w:val="00355B99"/>
    <w:rsid w:val="00356FC4"/>
    <w:rsid w:val="003618AD"/>
    <w:rsid w:val="00361A28"/>
    <w:rsid w:val="00361D12"/>
    <w:rsid w:val="00362461"/>
    <w:rsid w:val="00364E93"/>
    <w:rsid w:val="00365F1B"/>
    <w:rsid w:val="00365F4C"/>
    <w:rsid w:val="00366C9F"/>
    <w:rsid w:val="00366F9B"/>
    <w:rsid w:val="0036753D"/>
    <w:rsid w:val="003677F6"/>
    <w:rsid w:val="00370C64"/>
    <w:rsid w:val="00372442"/>
    <w:rsid w:val="00373A12"/>
    <w:rsid w:val="00373B33"/>
    <w:rsid w:val="003740B2"/>
    <w:rsid w:val="00374815"/>
    <w:rsid w:val="003748C1"/>
    <w:rsid w:val="003801A1"/>
    <w:rsid w:val="003806AD"/>
    <w:rsid w:val="00380BF5"/>
    <w:rsid w:val="003819DF"/>
    <w:rsid w:val="00382BAF"/>
    <w:rsid w:val="00383343"/>
    <w:rsid w:val="00383D21"/>
    <w:rsid w:val="00384688"/>
    <w:rsid w:val="00384BE4"/>
    <w:rsid w:val="00385288"/>
    <w:rsid w:val="00385A67"/>
    <w:rsid w:val="00385CE2"/>
    <w:rsid w:val="0039016F"/>
    <w:rsid w:val="003903AB"/>
    <w:rsid w:val="00391C62"/>
    <w:rsid w:val="00393502"/>
    <w:rsid w:val="00394B21"/>
    <w:rsid w:val="00395B06"/>
    <w:rsid w:val="0039783D"/>
    <w:rsid w:val="00397AF9"/>
    <w:rsid w:val="003A1796"/>
    <w:rsid w:val="003A2886"/>
    <w:rsid w:val="003A4B16"/>
    <w:rsid w:val="003A7BE5"/>
    <w:rsid w:val="003B09C1"/>
    <w:rsid w:val="003B17C4"/>
    <w:rsid w:val="003B32A8"/>
    <w:rsid w:val="003B372B"/>
    <w:rsid w:val="003B513A"/>
    <w:rsid w:val="003B7199"/>
    <w:rsid w:val="003C1159"/>
    <w:rsid w:val="003C139B"/>
    <w:rsid w:val="003C1B13"/>
    <w:rsid w:val="003C54CD"/>
    <w:rsid w:val="003C5BBE"/>
    <w:rsid w:val="003C5CCE"/>
    <w:rsid w:val="003C6469"/>
    <w:rsid w:val="003C65FA"/>
    <w:rsid w:val="003C7392"/>
    <w:rsid w:val="003C7965"/>
    <w:rsid w:val="003C79D0"/>
    <w:rsid w:val="003D13A9"/>
    <w:rsid w:val="003D2690"/>
    <w:rsid w:val="003D3775"/>
    <w:rsid w:val="003D41B5"/>
    <w:rsid w:val="003D507B"/>
    <w:rsid w:val="003D525A"/>
    <w:rsid w:val="003D5E9B"/>
    <w:rsid w:val="003D71CD"/>
    <w:rsid w:val="003D7283"/>
    <w:rsid w:val="003D73A9"/>
    <w:rsid w:val="003D79ED"/>
    <w:rsid w:val="003E0667"/>
    <w:rsid w:val="003E13BD"/>
    <w:rsid w:val="003E2CCB"/>
    <w:rsid w:val="003E3E5A"/>
    <w:rsid w:val="003E4D86"/>
    <w:rsid w:val="003E4D98"/>
    <w:rsid w:val="003E6DC3"/>
    <w:rsid w:val="003E70F6"/>
    <w:rsid w:val="003E7DBB"/>
    <w:rsid w:val="003F1E94"/>
    <w:rsid w:val="003F2369"/>
    <w:rsid w:val="003F28AF"/>
    <w:rsid w:val="003F2B32"/>
    <w:rsid w:val="003F3001"/>
    <w:rsid w:val="003F3EB1"/>
    <w:rsid w:val="003F53B4"/>
    <w:rsid w:val="003F5779"/>
    <w:rsid w:val="003F68C4"/>
    <w:rsid w:val="003F6D5A"/>
    <w:rsid w:val="003F7896"/>
    <w:rsid w:val="003F7A4A"/>
    <w:rsid w:val="00400D41"/>
    <w:rsid w:val="00402709"/>
    <w:rsid w:val="00402E0E"/>
    <w:rsid w:val="00403B78"/>
    <w:rsid w:val="0040545E"/>
    <w:rsid w:val="00407B7F"/>
    <w:rsid w:val="004103FD"/>
    <w:rsid w:val="00412793"/>
    <w:rsid w:val="00412AFC"/>
    <w:rsid w:val="00412C50"/>
    <w:rsid w:val="00412DA9"/>
    <w:rsid w:val="00413C97"/>
    <w:rsid w:val="00416BE7"/>
    <w:rsid w:val="00417352"/>
    <w:rsid w:val="00417956"/>
    <w:rsid w:val="00420696"/>
    <w:rsid w:val="00422032"/>
    <w:rsid w:val="00422BA5"/>
    <w:rsid w:val="00422F28"/>
    <w:rsid w:val="004237DB"/>
    <w:rsid w:val="00423847"/>
    <w:rsid w:val="00424266"/>
    <w:rsid w:val="004248CA"/>
    <w:rsid w:val="00424A08"/>
    <w:rsid w:val="00425F4A"/>
    <w:rsid w:val="00425F74"/>
    <w:rsid w:val="00427C66"/>
    <w:rsid w:val="004307B4"/>
    <w:rsid w:val="004310A9"/>
    <w:rsid w:val="004314B8"/>
    <w:rsid w:val="004320B2"/>
    <w:rsid w:val="00433BA0"/>
    <w:rsid w:val="00433D88"/>
    <w:rsid w:val="00436C19"/>
    <w:rsid w:val="00437C53"/>
    <w:rsid w:val="00440C67"/>
    <w:rsid w:val="00441525"/>
    <w:rsid w:val="0044223F"/>
    <w:rsid w:val="00442B33"/>
    <w:rsid w:val="00442B90"/>
    <w:rsid w:val="00442FF7"/>
    <w:rsid w:val="0044322C"/>
    <w:rsid w:val="004444FF"/>
    <w:rsid w:val="00445046"/>
    <w:rsid w:val="00445C80"/>
    <w:rsid w:val="00446497"/>
    <w:rsid w:val="00451E43"/>
    <w:rsid w:val="00453BC0"/>
    <w:rsid w:val="00455D38"/>
    <w:rsid w:val="00455EBE"/>
    <w:rsid w:val="00457156"/>
    <w:rsid w:val="004572B8"/>
    <w:rsid w:val="0046124C"/>
    <w:rsid w:val="0046147D"/>
    <w:rsid w:val="00462DE7"/>
    <w:rsid w:val="004674C8"/>
    <w:rsid w:val="00470220"/>
    <w:rsid w:val="00470488"/>
    <w:rsid w:val="00473381"/>
    <w:rsid w:val="004752CC"/>
    <w:rsid w:val="00475594"/>
    <w:rsid w:val="00475BE3"/>
    <w:rsid w:val="004767F9"/>
    <w:rsid w:val="00477DCA"/>
    <w:rsid w:val="00480BB3"/>
    <w:rsid w:val="00485179"/>
    <w:rsid w:val="0048615C"/>
    <w:rsid w:val="00486245"/>
    <w:rsid w:val="00486493"/>
    <w:rsid w:val="0049042D"/>
    <w:rsid w:val="00496632"/>
    <w:rsid w:val="00496CDF"/>
    <w:rsid w:val="004A136E"/>
    <w:rsid w:val="004A29AF"/>
    <w:rsid w:val="004A3177"/>
    <w:rsid w:val="004A394E"/>
    <w:rsid w:val="004A3C76"/>
    <w:rsid w:val="004A7C7B"/>
    <w:rsid w:val="004A7EA5"/>
    <w:rsid w:val="004B069A"/>
    <w:rsid w:val="004B096B"/>
    <w:rsid w:val="004B0FE5"/>
    <w:rsid w:val="004B28F1"/>
    <w:rsid w:val="004B3434"/>
    <w:rsid w:val="004B45C8"/>
    <w:rsid w:val="004B4C46"/>
    <w:rsid w:val="004B548A"/>
    <w:rsid w:val="004B55EA"/>
    <w:rsid w:val="004B62D0"/>
    <w:rsid w:val="004B6532"/>
    <w:rsid w:val="004B7BEC"/>
    <w:rsid w:val="004B7BFA"/>
    <w:rsid w:val="004C11CE"/>
    <w:rsid w:val="004C1DB4"/>
    <w:rsid w:val="004C3E5B"/>
    <w:rsid w:val="004C454E"/>
    <w:rsid w:val="004C5F66"/>
    <w:rsid w:val="004C6770"/>
    <w:rsid w:val="004C6976"/>
    <w:rsid w:val="004C73DE"/>
    <w:rsid w:val="004C7476"/>
    <w:rsid w:val="004C767D"/>
    <w:rsid w:val="004C7C53"/>
    <w:rsid w:val="004D01D8"/>
    <w:rsid w:val="004D1A32"/>
    <w:rsid w:val="004D1D26"/>
    <w:rsid w:val="004D3543"/>
    <w:rsid w:val="004D4117"/>
    <w:rsid w:val="004D5873"/>
    <w:rsid w:val="004D626F"/>
    <w:rsid w:val="004E2085"/>
    <w:rsid w:val="004E3D99"/>
    <w:rsid w:val="004E4DBE"/>
    <w:rsid w:val="004E558F"/>
    <w:rsid w:val="004F0708"/>
    <w:rsid w:val="004F0E71"/>
    <w:rsid w:val="004F39E6"/>
    <w:rsid w:val="004F433B"/>
    <w:rsid w:val="004F50D2"/>
    <w:rsid w:val="004F5F9A"/>
    <w:rsid w:val="004F6CA0"/>
    <w:rsid w:val="004F6ED9"/>
    <w:rsid w:val="00501361"/>
    <w:rsid w:val="00501C44"/>
    <w:rsid w:val="0050313E"/>
    <w:rsid w:val="00504195"/>
    <w:rsid w:val="0050449D"/>
    <w:rsid w:val="0050457B"/>
    <w:rsid w:val="005046B5"/>
    <w:rsid w:val="00504BC2"/>
    <w:rsid w:val="005051E3"/>
    <w:rsid w:val="005063F4"/>
    <w:rsid w:val="00512621"/>
    <w:rsid w:val="00513F82"/>
    <w:rsid w:val="00514183"/>
    <w:rsid w:val="0051452F"/>
    <w:rsid w:val="005146AE"/>
    <w:rsid w:val="0051505C"/>
    <w:rsid w:val="005157DF"/>
    <w:rsid w:val="00515AD8"/>
    <w:rsid w:val="0051693A"/>
    <w:rsid w:val="00516C04"/>
    <w:rsid w:val="0052067E"/>
    <w:rsid w:val="00522557"/>
    <w:rsid w:val="00522BA7"/>
    <w:rsid w:val="00524CFA"/>
    <w:rsid w:val="00524F6A"/>
    <w:rsid w:val="00526B20"/>
    <w:rsid w:val="00527791"/>
    <w:rsid w:val="0053091C"/>
    <w:rsid w:val="00532DDB"/>
    <w:rsid w:val="0053307D"/>
    <w:rsid w:val="00534353"/>
    <w:rsid w:val="00534F2F"/>
    <w:rsid w:val="0053657D"/>
    <w:rsid w:val="0054115A"/>
    <w:rsid w:val="005411AA"/>
    <w:rsid w:val="00541523"/>
    <w:rsid w:val="00541AC7"/>
    <w:rsid w:val="0054244C"/>
    <w:rsid w:val="005455FE"/>
    <w:rsid w:val="00545855"/>
    <w:rsid w:val="00545FD7"/>
    <w:rsid w:val="00547E26"/>
    <w:rsid w:val="005528B2"/>
    <w:rsid w:val="00553AF4"/>
    <w:rsid w:val="00553C9D"/>
    <w:rsid w:val="00553E6B"/>
    <w:rsid w:val="0055484D"/>
    <w:rsid w:val="005549A6"/>
    <w:rsid w:val="00555766"/>
    <w:rsid w:val="00555B7A"/>
    <w:rsid w:val="00556BA7"/>
    <w:rsid w:val="0056063B"/>
    <w:rsid w:val="00561303"/>
    <w:rsid w:val="00561F54"/>
    <w:rsid w:val="00564269"/>
    <w:rsid w:val="00564FE2"/>
    <w:rsid w:val="005668DB"/>
    <w:rsid w:val="005679B0"/>
    <w:rsid w:val="00570784"/>
    <w:rsid w:val="00570872"/>
    <w:rsid w:val="005720BF"/>
    <w:rsid w:val="00575267"/>
    <w:rsid w:val="00575FD9"/>
    <w:rsid w:val="00576A0A"/>
    <w:rsid w:val="00576F08"/>
    <w:rsid w:val="005802A9"/>
    <w:rsid w:val="00581773"/>
    <w:rsid w:val="005822E8"/>
    <w:rsid w:val="005823A3"/>
    <w:rsid w:val="00584575"/>
    <w:rsid w:val="0058619F"/>
    <w:rsid w:val="005868CE"/>
    <w:rsid w:val="00586D11"/>
    <w:rsid w:val="00586E20"/>
    <w:rsid w:val="00586E99"/>
    <w:rsid w:val="00590627"/>
    <w:rsid w:val="00590F39"/>
    <w:rsid w:val="00592890"/>
    <w:rsid w:val="00593D86"/>
    <w:rsid w:val="00595350"/>
    <w:rsid w:val="00596479"/>
    <w:rsid w:val="005A0801"/>
    <w:rsid w:val="005A08DD"/>
    <w:rsid w:val="005A095D"/>
    <w:rsid w:val="005A0F6A"/>
    <w:rsid w:val="005A1327"/>
    <w:rsid w:val="005A25F4"/>
    <w:rsid w:val="005A3049"/>
    <w:rsid w:val="005A5617"/>
    <w:rsid w:val="005A5F3E"/>
    <w:rsid w:val="005A6016"/>
    <w:rsid w:val="005A6788"/>
    <w:rsid w:val="005A69B9"/>
    <w:rsid w:val="005B054E"/>
    <w:rsid w:val="005B0EB4"/>
    <w:rsid w:val="005B180E"/>
    <w:rsid w:val="005B2107"/>
    <w:rsid w:val="005B3410"/>
    <w:rsid w:val="005B438D"/>
    <w:rsid w:val="005B6B32"/>
    <w:rsid w:val="005B6F90"/>
    <w:rsid w:val="005B71C5"/>
    <w:rsid w:val="005B751A"/>
    <w:rsid w:val="005B7904"/>
    <w:rsid w:val="005C3C73"/>
    <w:rsid w:val="005C3D75"/>
    <w:rsid w:val="005C4CB7"/>
    <w:rsid w:val="005C696E"/>
    <w:rsid w:val="005C7332"/>
    <w:rsid w:val="005C7937"/>
    <w:rsid w:val="005C7BC8"/>
    <w:rsid w:val="005D07A0"/>
    <w:rsid w:val="005D0C75"/>
    <w:rsid w:val="005D0CFC"/>
    <w:rsid w:val="005D23E9"/>
    <w:rsid w:val="005D2A9B"/>
    <w:rsid w:val="005D7874"/>
    <w:rsid w:val="005D78B2"/>
    <w:rsid w:val="005D7D71"/>
    <w:rsid w:val="005E053A"/>
    <w:rsid w:val="005E38CD"/>
    <w:rsid w:val="005E429F"/>
    <w:rsid w:val="005E4400"/>
    <w:rsid w:val="005E4AAC"/>
    <w:rsid w:val="005E5CC6"/>
    <w:rsid w:val="005E701D"/>
    <w:rsid w:val="005E7651"/>
    <w:rsid w:val="005E78AC"/>
    <w:rsid w:val="005F03C9"/>
    <w:rsid w:val="005F15A7"/>
    <w:rsid w:val="005F3865"/>
    <w:rsid w:val="005F48EB"/>
    <w:rsid w:val="005F5504"/>
    <w:rsid w:val="005F5BBA"/>
    <w:rsid w:val="005F63A1"/>
    <w:rsid w:val="005F7A59"/>
    <w:rsid w:val="005F7D94"/>
    <w:rsid w:val="00600548"/>
    <w:rsid w:val="006014FE"/>
    <w:rsid w:val="00601C26"/>
    <w:rsid w:val="0060388E"/>
    <w:rsid w:val="0060465B"/>
    <w:rsid w:val="00604908"/>
    <w:rsid w:val="00604F81"/>
    <w:rsid w:val="00605A8C"/>
    <w:rsid w:val="00607E1B"/>
    <w:rsid w:val="006128FB"/>
    <w:rsid w:val="00612AD3"/>
    <w:rsid w:val="00612D43"/>
    <w:rsid w:val="00614927"/>
    <w:rsid w:val="00614C06"/>
    <w:rsid w:val="006151D1"/>
    <w:rsid w:val="00615430"/>
    <w:rsid w:val="0061552C"/>
    <w:rsid w:val="0061585D"/>
    <w:rsid w:val="00616197"/>
    <w:rsid w:val="00617577"/>
    <w:rsid w:val="00621B25"/>
    <w:rsid w:val="00624818"/>
    <w:rsid w:val="00625B02"/>
    <w:rsid w:val="00625D84"/>
    <w:rsid w:val="0063012D"/>
    <w:rsid w:val="006313AE"/>
    <w:rsid w:val="0063259C"/>
    <w:rsid w:val="006330C0"/>
    <w:rsid w:val="00633A40"/>
    <w:rsid w:val="0063448B"/>
    <w:rsid w:val="0063499A"/>
    <w:rsid w:val="00634BC9"/>
    <w:rsid w:val="00635917"/>
    <w:rsid w:val="00637759"/>
    <w:rsid w:val="00637FC7"/>
    <w:rsid w:val="006405C1"/>
    <w:rsid w:val="00640994"/>
    <w:rsid w:val="00641F4A"/>
    <w:rsid w:val="00642995"/>
    <w:rsid w:val="00643045"/>
    <w:rsid w:val="006437A3"/>
    <w:rsid w:val="006440C6"/>
    <w:rsid w:val="00644968"/>
    <w:rsid w:val="006457F0"/>
    <w:rsid w:val="006465A1"/>
    <w:rsid w:val="00646817"/>
    <w:rsid w:val="006468DC"/>
    <w:rsid w:val="00646FC6"/>
    <w:rsid w:val="006470A7"/>
    <w:rsid w:val="00647280"/>
    <w:rsid w:val="0065132C"/>
    <w:rsid w:val="00651DE3"/>
    <w:rsid w:val="00651F0C"/>
    <w:rsid w:val="00654F31"/>
    <w:rsid w:val="00655912"/>
    <w:rsid w:val="00655D6C"/>
    <w:rsid w:val="0065698C"/>
    <w:rsid w:val="0065787D"/>
    <w:rsid w:val="00657BA8"/>
    <w:rsid w:val="00657C1A"/>
    <w:rsid w:val="0066023C"/>
    <w:rsid w:val="00660380"/>
    <w:rsid w:val="006607F2"/>
    <w:rsid w:val="006613B0"/>
    <w:rsid w:val="00662E98"/>
    <w:rsid w:val="006643CA"/>
    <w:rsid w:val="006645AE"/>
    <w:rsid w:val="00664C8B"/>
    <w:rsid w:val="00665919"/>
    <w:rsid w:val="00665EDF"/>
    <w:rsid w:val="00670A90"/>
    <w:rsid w:val="0067102C"/>
    <w:rsid w:val="0067146A"/>
    <w:rsid w:val="006733F3"/>
    <w:rsid w:val="0067341A"/>
    <w:rsid w:val="00673899"/>
    <w:rsid w:val="006765F8"/>
    <w:rsid w:val="00677A4B"/>
    <w:rsid w:val="00680580"/>
    <w:rsid w:val="00682036"/>
    <w:rsid w:val="00683E28"/>
    <w:rsid w:val="00683E43"/>
    <w:rsid w:val="0068564F"/>
    <w:rsid w:val="00686337"/>
    <w:rsid w:val="00686359"/>
    <w:rsid w:val="00687408"/>
    <w:rsid w:val="006875A5"/>
    <w:rsid w:val="006901CD"/>
    <w:rsid w:val="006927CB"/>
    <w:rsid w:val="006929F7"/>
    <w:rsid w:val="00692FB2"/>
    <w:rsid w:val="00693A05"/>
    <w:rsid w:val="00693D87"/>
    <w:rsid w:val="00694DC3"/>
    <w:rsid w:val="00696B15"/>
    <w:rsid w:val="006976AE"/>
    <w:rsid w:val="006978EC"/>
    <w:rsid w:val="006A0432"/>
    <w:rsid w:val="006A09DC"/>
    <w:rsid w:val="006A1E2C"/>
    <w:rsid w:val="006A4D26"/>
    <w:rsid w:val="006A64D8"/>
    <w:rsid w:val="006A6526"/>
    <w:rsid w:val="006A701D"/>
    <w:rsid w:val="006A79C8"/>
    <w:rsid w:val="006A7E5E"/>
    <w:rsid w:val="006B01E2"/>
    <w:rsid w:val="006B02BC"/>
    <w:rsid w:val="006B064F"/>
    <w:rsid w:val="006B176C"/>
    <w:rsid w:val="006B197F"/>
    <w:rsid w:val="006B1DBD"/>
    <w:rsid w:val="006B3022"/>
    <w:rsid w:val="006B54E2"/>
    <w:rsid w:val="006B6032"/>
    <w:rsid w:val="006C05E3"/>
    <w:rsid w:val="006C0B84"/>
    <w:rsid w:val="006C11B8"/>
    <w:rsid w:val="006C17E4"/>
    <w:rsid w:val="006C275B"/>
    <w:rsid w:val="006C2AE6"/>
    <w:rsid w:val="006C30C1"/>
    <w:rsid w:val="006C39FF"/>
    <w:rsid w:val="006C48D9"/>
    <w:rsid w:val="006C6334"/>
    <w:rsid w:val="006C656A"/>
    <w:rsid w:val="006C65FF"/>
    <w:rsid w:val="006C7C71"/>
    <w:rsid w:val="006D0D00"/>
    <w:rsid w:val="006D1255"/>
    <w:rsid w:val="006D1BF8"/>
    <w:rsid w:val="006D1C51"/>
    <w:rsid w:val="006D1DA9"/>
    <w:rsid w:val="006D27A8"/>
    <w:rsid w:val="006D2DEF"/>
    <w:rsid w:val="006D3A01"/>
    <w:rsid w:val="006D591F"/>
    <w:rsid w:val="006D682E"/>
    <w:rsid w:val="006E06CF"/>
    <w:rsid w:val="006E169D"/>
    <w:rsid w:val="006E4CC9"/>
    <w:rsid w:val="006E5410"/>
    <w:rsid w:val="006E5EEB"/>
    <w:rsid w:val="006E6BF3"/>
    <w:rsid w:val="006E6C06"/>
    <w:rsid w:val="006E722D"/>
    <w:rsid w:val="006E7E32"/>
    <w:rsid w:val="006F3140"/>
    <w:rsid w:val="006F67BF"/>
    <w:rsid w:val="006F7ECB"/>
    <w:rsid w:val="007015DE"/>
    <w:rsid w:val="0070256F"/>
    <w:rsid w:val="00702F48"/>
    <w:rsid w:val="0070357C"/>
    <w:rsid w:val="00707CCF"/>
    <w:rsid w:val="0071142F"/>
    <w:rsid w:val="007116E5"/>
    <w:rsid w:val="00712369"/>
    <w:rsid w:val="007132DB"/>
    <w:rsid w:val="00713C90"/>
    <w:rsid w:val="00713D49"/>
    <w:rsid w:val="00715816"/>
    <w:rsid w:val="0071637D"/>
    <w:rsid w:val="007172AE"/>
    <w:rsid w:val="0071785B"/>
    <w:rsid w:val="00720204"/>
    <w:rsid w:val="0072076E"/>
    <w:rsid w:val="00720C3D"/>
    <w:rsid w:val="00722183"/>
    <w:rsid w:val="00722369"/>
    <w:rsid w:val="0072268A"/>
    <w:rsid w:val="00722A82"/>
    <w:rsid w:val="00722B4E"/>
    <w:rsid w:val="0072445C"/>
    <w:rsid w:val="00724CB0"/>
    <w:rsid w:val="00725DAC"/>
    <w:rsid w:val="00726D59"/>
    <w:rsid w:val="007322E7"/>
    <w:rsid w:val="0073280D"/>
    <w:rsid w:val="00732968"/>
    <w:rsid w:val="00733FEB"/>
    <w:rsid w:val="007341D6"/>
    <w:rsid w:val="007345D5"/>
    <w:rsid w:val="00734980"/>
    <w:rsid w:val="00734F33"/>
    <w:rsid w:val="00736279"/>
    <w:rsid w:val="00740E42"/>
    <w:rsid w:val="007427A5"/>
    <w:rsid w:val="00742850"/>
    <w:rsid w:val="00742C37"/>
    <w:rsid w:val="00742D0C"/>
    <w:rsid w:val="00747C03"/>
    <w:rsid w:val="007517D8"/>
    <w:rsid w:val="007546B4"/>
    <w:rsid w:val="0075498C"/>
    <w:rsid w:val="007555FD"/>
    <w:rsid w:val="00755ACB"/>
    <w:rsid w:val="007569D9"/>
    <w:rsid w:val="00756E78"/>
    <w:rsid w:val="00757A0E"/>
    <w:rsid w:val="00760035"/>
    <w:rsid w:val="00760413"/>
    <w:rsid w:val="0076069C"/>
    <w:rsid w:val="007615CB"/>
    <w:rsid w:val="007621DD"/>
    <w:rsid w:val="00762A16"/>
    <w:rsid w:val="00762C2A"/>
    <w:rsid w:val="00762E0E"/>
    <w:rsid w:val="00764110"/>
    <w:rsid w:val="00764C09"/>
    <w:rsid w:val="007656F1"/>
    <w:rsid w:val="007661E6"/>
    <w:rsid w:val="00766381"/>
    <w:rsid w:val="00770042"/>
    <w:rsid w:val="00770BF9"/>
    <w:rsid w:val="00771F88"/>
    <w:rsid w:val="007721A0"/>
    <w:rsid w:val="00772D11"/>
    <w:rsid w:val="00776247"/>
    <w:rsid w:val="0077625A"/>
    <w:rsid w:val="00776299"/>
    <w:rsid w:val="00776C59"/>
    <w:rsid w:val="00776F9D"/>
    <w:rsid w:val="00780965"/>
    <w:rsid w:val="007815FE"/>
    <w:rsid w:val="0078182B"/>
    <w:rsid w:val="00781E37"/>
    <w:rsid w:val="0078248F"/>
    <w:rsid w:val="007830ED"/>
    <w:rsid w:val="007830FD"/>
    <w:rsid w:val="007833D9"/>
    <w:rsid w:val="00784502"/>
    <w:rsid w:val="00784AF3"/>
    <w:rsid w:val="00784F0D"/>
    <w:rsid w:val="007863B2"/>
    <w:rsid w:val="0079196E"/>
    <w:rsid w:val="00792D3B"/>
    <w:rsid w:val="007933E2"/>
    <w:rsid w:val="00793723"/>
    <w:rsid w:val="00794612"/>
    <w:rsid w:val="00794682"/>
    <w:rsid w:val="007951C0"/>
    <w:rsid w:val="007970CB"/>
    <w:rsid w:val="00797792"/>
    <w:rsid w:val="007A0156"/>
    <w:rsid w:val="007A104B"/>
    <w:rsid w:val="007A1BFC"/>
    <w:rsid w:val="007A2B55"/>
    <w:rsid w:val="007A4682"/>
    <w:rsid w:val="007A6D1C"/>
    <w:rsid w:val="007B01BF"/>
    <w:rsid w:val="007B0220"/>
    <w:rsid w:val="007B0ADF"/>
    <w:rsid w:val="007B0C1C"/>
    <w:rsid w:val="007B1FD2"/>
    <w:rsid w:val="007B265A"/>
    <w:rsid w:val="007B3A36"/>
    <w:rsid w:val="007B47BC"/>
    <w:rsid w:val="007B51D3"/>
    <w:rsid w:val="007B5890"/>
    <w:rsid w:val="007C0789"/>
    <w:rsid w:val="007C104C"/>
    <w:rsid w:val="007C40F7"/>
    <w:rsid w:val="007C426D"/>
    <w:rsid w:val="007C4270"/>
    <w:rsid w:val="007C542C"/>
    <w:rsid w:val="007C6CF8"/>
    <w:rsid w:val="007C77D9"/>
    <w:rsid w:val="007C796B"/>
    <w:rsid w:val="007D033A"/>
    <w:rsid w:val="007D12A5"/>
    <w:rsid w:val="007D1389"/>
    <w:rsid w:val="007D2168"/>
    <w:rsid w:val="007D3269"/>
    <w:rsid w:val="007D354A"/>
    <w:rsid w:val="007D37C9"/>
    <w:rsid w:val="007D48B8"/>
    <w:rsid w:val="007D49DA"/>
    <w:rsid w:val="007D4B98"/>
    <w:rsid w:val="007D7FD8"/>
    <w:rsid w:val="007E06AE"/>
    <w:rsid w:val="007E19AF"/>
    <w:rsid w:val="007E1C0A"/>
    <w:rsid w:val="007E213E"/>
    <w:rsid w:val="007E288D"/>
    <w:rsid w:val="007E406F"/>
    <w:rsid w:val="007E5445"/>
    <w:rsid w:val="007E683C"/>
    <w:rsid w:val="007E73E9"/>
    <w:rsid w:val="007F19E7"/>
    <w:rsid w:val="007F1B1C"/>
    <w:rsid w:val="007F2361"/>
    <w:rsid w:val="007F2748"/>
    <w:rsid w:val="007F5ACE"/>
    <w:rsid w:val="007F60FA"/>
    <w:rsid w:val="007F6200"/>
    <w:rsid w:val="007F6EC2"/>
    <w:rsid w:val="00800357"/>
    <w:rsid w:val="00801318"/>
    <w:rsid w:val="00801CD2"/>
    <w:rsid w:val="0080311A"/>
    <w:rsid w:val="00803255"/>
    <w:rsid w:val="008042DC"/>
    <w:rsid w:val="0080512E"/>
    <w:rsid w:val="00807FCE"/>
    <w:rsid w:val="0081027E"/>
    <w:rsid w:val="008109A2"/>
    <w:rsid w:val="0081250A"/>
    <w:rsid w:val="008128E2"/>
    <w:rsid w:val="00812CB6"/>
    <w:rsid w:val="008139E9"/>
    <w:rsid w:val="00813C84"/>
    <w:rsid w:val="0081647C"/>
    <w:rsid w:val="00821CE1"/>
    <w:rsid w:val="0082242B"/>
    <w:rsid w:val="00825D64"/>
    <w:rsid w:val="008267B6"/>
    <w:rsid w:val="00826BDB"/>
    <w:rsid w:val="00827742"/>
    <w:rsid w:val="00827CCE"/>
    <w:rsid w:val="00834BAB"/>
    <w:rsid w:val="00835143"/>
    <w:rsid w:val="008351D4"/>
    <w:rsid w:val="00840D89"/>
    <w:rsid w:val="00841B31"/>
    <w:rsid w:val="00842320"/>
    <w:rsid w:val="008425BB"/>
    <w:rsid w:val="008427F3"/>
    <w:rsid w:val="00843B45"/>
    <w:rsid w:val="00844D9C"/>
    <w:rsid w:val="00847404"/>
    <w:rsid w:val="008500C6"/>
    <w:rsid w:val="0085204F"/>
    <w:rsid w:val="00852479"/>
    <w:rsid w:val="00852ECE"/>
    <w:rsid w:val="00853908"/>
    <w:rsid w:val="00854840"/>
    <w:rsid w:val="0085492E"/>
    <w:rsid w:val="00855431"/>
    <w:rsid w:val="008635EA"/>
    <w:rsid w:val="00863B63"/>
    <w:rsid w:val="00866742"/>
    <w:rsid w:val="00866FFF"/>
    <w:rsid w:val="00867362"/>
    <w:rsid w:val="008700C9"/>
    <w:rsid w:val="00871A6D"/>
    <w:rsid w:val="00871DBC"/>
    <w:rsid w:val="00872230"/>
    <w:rsid w:val="00872471"/>
    <w:rsid w:val="0087465F"/>
    <w:rsid w:val="00874AC3"/>
    <w:rsid w:val="00874BDB"/>
    <w:rsid w:val="00876087"/>
    <w:rsid w:val="0087627D"/>
    <w:rsid w:val="00877BDF"/>
    <w:rsid w:val="00877E99"/>
    <w:rsid w:val="00880ECB"/>
    <w:rsid w:val="008810D0"/>
    <w:rsid w:val="00881F59"/>
    <w:rsid w:val="008823CA"/>
    <w:rsid w:val="0088296D"/>
    <w:rsid w:val="008835D4"/>
    <w:rsid w:val="008867DD"/>
    <w:rsid w:val="00886C80"/>
    <w:rsid w:val="00886F89"/>
    <w:rsid w:val="008909E2"/>
    <w:rsid w:val="0089369E"/>
    <w:rsid w:val="00894A46"/>
    <w:rsid w:val="00894DC0"/>
    <w:rsid w:val="00896FCE"/>
    <w:rsid w:val="008A11F0"/>
    <w:rsid w:val="008A17D1"/>
    <w:rsid w:val="008A1935"/>
    <w:rsid w:val="008A4A0B"/>
    <w:rsid w:val="008A5DC6"/>
    <w:rsid w:val="008A6031"/>
    <w:rsid w:val="008A7124"/>
    <w:rsid w:val="008B0221"/>
    <w:rsid w:val="008B0530"/>
    <w:rsid w:val="008B199E"/>
    <w:rsid w:val="008B340B"/>
    <w:rsid w:val="008B3D5E"/>
    <w:rsid w:val="008B4B50"/>
    <w:rsid w:val="008B5136"/>
    <w:rsid w:val="008B523F"/>
    <w:rsid w:val="008B54D2"/>
    <w:rsid w:val="008B6CB7"/>
    <w:rsid w:val="008C02C9"/>
    <w:rsid w:val="008C1E11"/>
    <w:rsid w:val="008C20CE"/>
    <w:rsid w:val="008C347B"/>
    <w:rsid w:val="008C3539"/>
    <w:rsid w:val="008C3B20"/>
    <w:rsid w:val="008C3CD4"/>
    <w:rsid w:val="008C5B93"/>
    <w:rsid w:val="008C61CF"/>
    <w:rsid w:val="008C6E6B"/>
    <w:rsid w:val="008C79BF"/>
    <w:rsid w:val="008D1532"/>
    <w:rsid w:val="008D2FA1"/>
    <w:rsid w:val="008D3732"/>
    <w:rsid w:val="008D4058"/>
    <w:rsid w:val="008D52B1"/>
    <w:rsid w:val="008D6F2E"/>
    <w:rsid w:val="008D7AE8"/>
    <w:rsid w:val="008E00E2"/>
    <w:rsid w:val="008E1061"/>
    <w:rsid w:val="008E2174"/>
    <w:rsid w:val="008E2CE2"/>
    <w:rsid w:val="008E2D68"/>
    <w:rsid w:val="008E3F8C"/>
    <w:rsid w:val="008E4DE1"/>
    <w:rsid w:val="008E5EDB"/>
    <w:rsid w:val="008E710B"/>
    <w:rsid w:val="008E7F26"/>
    <w:rsid w:val="008F03E3"/>
    <w:rsid w:val="008F0EEF"/>
    <w:rsid w:val="008F10B7"/>
    <w:rsid w:val="008F1FD6"/>
    <w:rsid w:val="008F2D8A"/>
    <w:rsid w:val="008F5A6D"/>
    <w:rsid w:val="008F7568"/>
    <w:rsid w:val="0090030A"/>
    <w:rsid w:val="00900ECA"/>
    <w:rsid w:val="00901CDC"/>
    <w:rsid w:val="00902548"/>
    <w:rsid w:val="00903791"/>
    <w:rsid w:val="009044DC"/>
    <w:rsid w:val="00904DC6"/>
    <w:rsid w:val="0090585B"/>
    <w:rsid w:val="0090727F"/>
    <w:rsid w:val="00912131"/>
    <w:rsid w:val="009123AF"/>
    <w:rsid w:val="00912421"/>
    <w:rsid w:val="00912EFB"/>
    <w:rsid w:val="009137E9"/>
    <w:rsid w:val="009140A3"/>
    <w:rsid w:val="0091563D"/>
    <w:rsid w:val="00916F48"/>
    <w:rsid w:val="00920799"/>
    <w:rsid w:val="009220D5"/>
    <w:rsid w:val="009224F1"/>
    <w:rsid w:val="009226EE"/>
    <w:rsid w:val="00922AEA"/>
    <w:rsid w:val="0092302D"/>
    <w:rsid w:val="00925243"/>
    <w:rsid w:val="009252DE"/>
    <w:rsid w:val="00925DCD"/>
    <w:rsid w:val="009261A8"/>
    <w:rsid w:val="00926543"/>
    <w:rsid w:val="00927315"/>
    <w:rsid w:val="009275D5"/>
    <w:rsid w:val="00927733"/>
    <w:rsid w:val="00927851"/>
    <w:rsid w:val="0092799C"/>
    <w:rsid w:val="009309F5"/>
    <w:rsid w:val="0093282B"/>
    <w:rsid w:val="00935C35"/>
    <w:rsid w:val="009376D9"/>
    <w:rsid w:val="009405FB"/>
    <w:rsid w:val="009407E7"/>
    <w:rsid w:val="00940B0A"/>
    <w:rsid w:val="00944309"/>
    <w:rsid w:val="009459CE"/>
    <w:rsid w:val="0094620D"/>
    <w:rsid w:val="00946377"/>
    <w:rsid w:val="00946CB3"/>
    <w:rsid w:val="00946FF8"/>
    <w:rsid w:val="00947297"/>
    <w:rsid w:val="0094766D"/>
    <w:rsid w:val="0094796B"/>
    <w:rsid w:val="009509DB"/>
    <w:rsid w:val="00950CF7"/>
    <w:rsid w:val="00950D17"/>
    <w:rsid w:val="00950DA7"/>
    <w:rsid w:val="0095103B"/>
    <w:rsid w:val="009520BC"/>
    <w:rsid w:val="00955248"/>
    <w:rsid w:val="00955813"/>
    <w:rsid w:val="00961AAC"/>
    <w:rsid w:val="0096264C"/>
    <w:rsid w:val="0096309C"/>
    <w:rsid w:val="00963223"/>
    <w:rsid w:val="00963506"/>
    <w:rsid w:val="00963A04"/>
    <w:rsid w:val="0096481F"/>
    <w:rsid w:val="00965CB4"/>
    <w:rsid w:val="0096609D"/>
    <w:rsid w:val="009666A6"/>
    <w:rsid w:val="00966F45"/>
    <w:rsid w:val="009676DE"/>
    <w:rsid w:val="00967FAF"/>
    <w:rsid w:val="009707D1"/>
    <w:rsid w:val="009709FA"/>
    <w:rsid w:val="009712F0"/>
    <w:rsid w:val="00971CB0"/>
    <w:rsid w:val="00971CF8"/>
    <w:rsid w:val="009721A7"/>
    <w:rsid w:val="009724CF"/>
    <w:rsid w:val="009746A9"/>
    <w:rsid w:val="00975CA0"/>
    <w:rsid w:val="009765BF"/>
    <w:rsid w:val="009777CA"/>
    <w:rsid w:val="0098367A"/>
    <w:rsid w:val="00983C18"/>
    <w:rsid w:val="0098514A"/>
    <w:rsid w:val="009853F9"/>
    <w:rsid w:val="009856EC"/>
    <w:rsid w:val="00985CFA"/>
    <w:rsid w:val="009864C0"/>
    <w:rsid w:val="00986A68"/>
    <w:rsid w:val="00986A96"/>
    <w:rsid w:val="009878C8"/>
    <w:rsid w:val="009919FB"/>
    <w:rsid w:val="00991B9F"/>
    <w:rsid w:val="00991F76"/>
    <w:rsid w:val="00992D63"/>
    <w:rsid w:val="00994909"/>
    <w:rsid w:val="009954CA"/>
    <w:rsid w:val="009A04FB"/>
    <w:rsid w:val="009A1179"/>
    <w:rsid w:val="009A142C"/>
    <w:rsid w:val="009A3770"/>
    <w:rsid w:val="009A3B7E"/>
    <w:rsid w:val="009A4127"/>
    <w:rsid w:val="009A46CA"/>
    <w:rsid w:val="009A5B4F"/>
    <w:rsid w:val="009A609A"/>
    <w:rsid w:val="009A62DA"/>
    <w:rsid w:val="009A651D"/>
    <w:rsid w:val="009A744F"/>
    <w:rsid w:val="009A7524"/>
    <w:rsid w:val="009A75AE"/>
    <w:rsid w:val="009B08FF"/>
    <w:rsid w:val="009B0D13"/>
    <w:rsid w:val="009B1BA9"/>
    <w:rsid w:val="009B22FF"/>
    <w:rsid w:val="009B2C21"/>
    <w:rsid w:val="009B328E"/>
    <w:rsid w:val="009B3691"/>
    <w:rsid w:val="009B40EE"/>
    <w:rsid w:val="009B4AD5"/>
    <w:rsid w:val="009B4C18"/>
    <w:rsid w:val="009B58D3"/>
    <w:rsid w:val="009B5EDB"/>
    <w:rsid w:val="009B79E7"/>
    <w:rsid w:val="009C03E0"/>
    <w:rsid w:val="009C2760"/>
    <w:rsid w:val="009C3E60"/>
    <w:rsid w:val="009C3FB7"/>
    <w:rsid w:val="009C42D3"/>
    <w:rsid w:val="009C4DE6"/>
    <w:rsid w:val="009C5C42"/>
    <w:rsid w:val="009C64CC"/>
    <w:rsid w:val="009C7A25"/>
    <w:rsid w:val="009C7EEE"/>
    <w:rsid w:val="009D3BB9"/>
    <w:rsid w:val="009D508D"/>
    <w:rsid w:val="009D5388"/>
    <w:rsid w:val="009D5544"/>
    <w:rsid w:val="009D7853"/>
    <w:rsid w:val="009E0004"/>
    <w:rsid w:val="009E0698"/>
    <w:rsid w:val="009E0914"/>
    <w:rsid w:val="009E1EA9"/>
    <w:rsid w:val="009E3AF6"/>
    <w:rsid w:val="009E4C4C"/>
    <w:rsid w:val="009E5460"/>
    <w:rsid w:val="009E59FC"/>
    <w:rsid w:val="009E6DBB"/>
    <w:rsid w:val="009E6E18"/>
    <w:rsid w:val="009E7804"/>
    <w:rsid w:val="009E7993"/>
    <w:rsid w:val="009F0D59"/>
    <w:rsid w:val="009F1911"/>
    <w:rsid w:val="009F2E75"/>
    <w:rsid w:val="009F35B5"/>
    <w:rsid w:val="009F3E11"/>
    <w:rsid w:val="009F406A"/>
    <w:rsid w:val="009F4336"/>
    <w:rsid w:val="009F4420"/>
    <w:rsid w:val="009F4DFB"/>
    <w:rsid w:val="009F5AC6"/>
    <w:rsid w:val="009F5CA2"/>
    <w:rsid w:val="009F71B5"/>
    <w:rsid w:val="009F7328"/>
    <w:rsid w:val="00A014E7"/>
    <w:rsid w:val="00A0272F"/>
    <w:rsid w:val="00A036BD"/>
    <w:rsid w:val="00A04F66"/>
    <w:rsid w:val="00A058ED"/>
    <w:rsid w:val="00A05DAC"/>
    <w:rsid w:val="00A069D7"/>
    <w:rsid w:val="00A071D6"/>
    <w:rsid w:val="00A10BF4"/>
    <w:rsid w:val="00A10E84"/>
    <w:rsid w:val="00A11961"/>
    <w:rsid w:val="00A12AF8"/>
    <w:rsid w:val="00A136AE"/>
    <w:rsid w:val="00A13CE4"/>
    <w:rsid w:val="00A13D10"/>
    <w:rsid w:val="00A157AB"/>
    <w:rsid w:val="00A1659B"/>
    <w:rsid w:val="00A204F7"/>
    <w:rsid w:val="00A208CC"/>
    <w:rsid w:val="00A2153E"/>
    <w:rsid w:val="00A21D60"/>
    <w:rsid w:val="00A2258F"/>
    <w:rsid w:val="00A22E06"/>
    <w:rsid w:val="00A2338B"/>
    <w:rsid w:val="00A23AA3"/>
    <w:rsid w:val="00A241E0"/>
    <w:rsid w:val="00A243FD"/>
    <w:rsid w:val="00A24521"/>
    <w:rsid w:val="00A251D3"/>
    <w:rsid w:val="00A25221"/>
    <w:rsid w:val="00A25D39"/>
    <w:rsid w:val="00A26C57"/>
    <w:rsid w:val="00A26F06"/>
    <w:rsid w:val="00A31E64"/>
    <w:rsid w:val="00A31F61"/>
    <w:rsid w:val="00A328FE"/>
    <w:rsid w:val="00A33822"/>
    <w:rsid w:val="00A33EA0"/>
    <w:rsid w:val="00A35747"/>
    <w:rsid w:val="00A37FAE"/>
    <w:rsid w:val="00A405A6"/>
    <w:rsid w:val="00A4110C"/>
    <w:rsid w:val="00A41C6D"/>
    <w:rsid w:val="00A42906"/>
    <w:rsid w:val="00A46B65"/>
    <w:rsid w:val="00A50A3E"/>
    <w:rsid w:val="00A5104D"/>
    <w:rsid w:val="00A514A0"/>
    <w:rsid w:val="00A521A0"/>
    <w:rsid w:val="00A5227E"/>
    <w:rsid w:val="00A52B47"/>
    <w:rsid w:val="00A53032"/>
    <w:rsid w:val="00A530DC"/>
    <w:rsid w:val="00A5334C"/>
    <w:rsid w:val="00A53BAB"/>
    <w:rsid w:val="00A55906"/>
    <w:rsid w:val="00A60B10"/>
    <w:rsid w:val="00A60D60"/>
    <w:rsid w:val="00A62D80"/>
    <w:rsid w:val="00A62E92"/>
    <w:rsid w:val="00A65971"/>
    <w:rsid w:val="00A65C47"/>
    <w:rsid w:val="00A65CE8"/>
    <w:rsid w:val="00A67A30"/>
    <w:rsid w:val="00A67F60"/>
    <w:rsid w:val="00A706F5"/>
    <w:rsid w:val="00A707FD"/>
    <w:rsid w:val="00A7137C"/>
    <w:rsid w:val="00A71C14"/>
    <w:rsid w:val="00A73FE5"/>
    <w:rsid w:val="00A76E07"/>
    <w:rsid w:val="00A76EBA"/>
    <w:rsid w:val="00A7751B"/>
    <w:rsid w:val="00A80CFF"/>
    <w:rsid w:val="00A81D27"/>
    <w:rsid w:val="00A82067"/>
    <w:rsid w:val="00A82F0A"/>
    <w:rsid w:val="00A86786"/>
    <w:rsid w:val="00A90117"/>
    <w:rsid w:val="00A929B3"/>
    <w:rsid w:val="00A947D2"/>
    <w:rsid w:val="00A96EAE"/>
    <w:rsid w:val="00AA0548"/>
    <w:rsid w:val="00AA0975"/>
    <w:rsid w:val="00AA0D94"/>
    <w:rsid w:val="00AA1C52"/>
    <w:rsid w:val="00AA237E"/>
    <w:rsid w:val="00AA31CD"/>
    <w:rsid w:val="00AA3E71"/>
    <w:rsid w:val="00AA3E9A"/>
    <w:rsid w:val="00AA476E"/>
    <w:rsid w:val="00AA672C"/>
    <w:rsid w:val="00AA6976"/>
    <w:rsid w:val="00AB023E"/>
    <w:rsid w:val="00AB08AF"/>
    <w:rsid w:val="00AB0CAE"/>
    <w:rsid w:val="00AB1107"/>
    <w:rsid w:val="00AB1442"/>
    <w:rsid w:val="00AB4904"/>
    <w:rsid w:val="00AB7F47"/>
    <w:rsid w:val="00AC4E01"/>
    <w:rsid w:val="00AC5674"/>
    <w:rsid w:val="00AC5964"/>
    <w:rsid w:val="00AC59BD"/>
    <w:rsid w:val="00AD0199"/>
    <w:rsid w:val="00AD19FB"/>
    <w:rsid w:val="00AD5C20"/>
    <w:rsid w:val="00AE0437"/>
    <w:rsid w:val="00AE09DC"/>
    <w:rsid w:val="00AE0E90"/>
    <w:rsid w:val="00AE20CD"/>
    <w:rsid w:val="00AE4486"/>
    <w:rsid w:val="00AE5CF9"/>
    <w:rsid w:val="00AE671A"/>
    <w:rsid w:val="00AE7421"/>
    <w:rsid w:val="00AE7D53"/>
    <w:rsid w:val="00AF034B"/>
    <w:rsid w:val="00AF04FE"/>
    <w:rsid w:val="00AF1ECF"/>
    <w:rsid w:val="00AF201A"/>
    <w:rsid w:val="00AF2B79"/>
    <w:rsid w:val="00AF38A9"/>
    <w:rsid w:val="00AF3C48"/>
    <w:rsid w:val="00AF3CB5"/>
    <w:rsid w:val="00AF41C7"/>
    <w:rsid w:val="00AF48F0"/>
    <w:rsid w:val="00AF581B"/>
    <w:rsid w:val="00AF72EC"/>
    <w:rsid w:val="00AF7FB2"/>
    <w:rsid w:val="00B03AFB"/>
    <w:rsid w:val="00B0585D"/>
    <w:rsid w:val="00B068CA"/>
    <w:rsid w:val="00B06C06"/>
    <w:rsid w:val="00B1008D"/>
    <w:rsid w:val="00B10166"/>
    <w:rsid w:val="00B11FD9"/>
    <w:rsid w:val="00B128EC"/>
    <w:rsid w:val="00B16968"/>
    <w:rsid w:val="00B16EB2"/>
    <w:rsid w:val="00B21C3B"/>
    <w:rsid w:val="00B229A9"/>
    <w:rsid w:val="00B23871"/>
    <w:rsid w:val="00B24851"/>
    <w:rsid w:val="00B25726"/>
    <w:rsid w:val="00B26168"/>
    <w:rsid w:val="00B26EA7"/>
    <w:rsid w:val="00B27F3C"/>
    <w:rsid w:val="00B30051"/>
    <w:rsid w:val="00B31797"/>
    <w:rsid w:val="00B31E1E"/>
    <w:rsid w:val="00B32D48"/>
    <w:rsid w:val="00B33E0A"/>
    <w:rsid w:val="00B340F8"/>
    <w:rsid w:val="00B349B6"/>
    <w:rsid w:val="00B34D02"/>
    <w:rsid w:val="00B34D12"/>
    <w:rsid w:val="00B3547C"/>
    <w:rsid w:val="00B35CEC"/>
    <w:rsid w:val="00B372F0"/>
    <w:rsid w:val="00B37AAB"/>
    <w:rsid w:val="00B37FB3"/>
    <w:rsid w:val="00B4179F"/>
    <w:rsid w:val="00B44245"/>
    <w:rsid w:val="00B47612"/>
    <w:rsid w:val="00B47B0B"/>
    <w:rsid w:val="00B5045E"/>
    <w:rsid w:val="00B50969"/>
    <w:rsid w:val="00B52D15"/>
    <w:rsid w:val="00B531DB"/>
    <w:rsid w:val="00B5696A"/>
    <w:rsid w:val="00B57862"/>
    <w:rsid w:val="00B603E5"/>
    <w:rsid w:val="00B61476"/>
    <w:rsid w:val="00B615FF"/>
    <w:rsid w:val="00B6170A"/>
    <w:rsid w:val="00B61F7F"/>
    <w:rsid w:val="00B633EF"/>
    <w:rsid w:val="00B653E9"/>
    <w:rsid w:val="00B655EC"/>
    <w:rsid w:val="00B65AD4"/>
    <w:rsid w:val="00B65BE7"/>
    <w:rsid w:val="00B6614A"/>
    <w:rsid w:val="00B66BC2"/>
    <w:rsid w:val="00B70254"/>
    <w:rsid w:val="00B71AC3"/>
    <w:rsid w:val="00B73CCF"/>
    <w:rsid w:val="00B7510E"/>
    <w:rsid w:val="00B75FFA"/>
    <w:rsid w:val="00B762F2"/>
    <w:rsid w:val="00B77639"/>
    <w:rsid w:val="00B81616"/>
    <w:rsid w:val="00B81880"/>
    <w:rsid w:val="00B81F10"/>
    <w:rsid w:val="00B82285"/>
    <w:rsid w:val="00B827F5"/>
    <w:rsid w:val="00B849C1"/>
    <w:rsid w:val="00B8508D"/>
    <w:rsid w:val="00B87554"/>
    <w:rsid w:val="00B87BC0"/>
    <w:rsid w:val="00B9153A"/>
    <w:rsid w:val="00B9440E"/>
    <w:rsid w:val="00B94F40"/>
    <w:rsid w:val="00B969CA"/>
    <w:rsid w:val="00B96AE2"/>
    <w:rsid w:val="00B97956"/>
    <w:rsid w:val="00BA22E9"/>
    <w:rsid w:val="00BA2368"/>
    <w:rsid w:val="00BA36EE"/>
    <w:rsid w:val="00BA3C10"/>
    <w:rsid w:val="00BA5230"/>
    <w:rsid w:val="00BA5DC7"/>
    <w:rsid w:val="00BA6482"/>
    <w:rsid w:val="00BA7DDC"/>
    <w:rsid w:val="00BB0178"/>
    <w:rsid w:val="00BB3BDE"/>
    <w:rsid w:val="00BB3D9E"/>
    <w:rsid w:val="00BB3E18"/>
    <w:rsid w:val="00BB44F0"/>
    <w:rsid w:val="00BB4518"/>
    <w:rsid w:val="00BB4645"/>
    <w:rsid w:val="00BB4C86"/>
    <w:rsid w:val="00BB52D3"/>
    <w:rsid w:val="00BB6643"/>
    <w:rsid w:val="00BB6BE1"/>
    <w:rsid w:val="00BC0264"/>
    <w:rsid w:val="00BC0335"/>
    <w:rsid w:val="00BC2824"/>
    <w:rsid w:val="00BC4B61"/>
    <w:rsid w:val="00BC62B7"/>
    <w:rsid w:val="00BD12E5"/>
    <w:rsid w:val="00BD1996"/>
    <w:rsid w:val="00BD2482"/>
    <w:rsid w:val="00BD2541"/>
    <w:rsid w:val="00BD4E68"/>
    <w:rsid w:val="00BD5377"/>
    <w:rsid w:val="00BD6B65"/>
    <w:rsid w:val="00BD6D67"/>
    <w:rsid w:val="00BD7176"/>
    <w:rsid w:val="00BE17AD"/>
    <w:rsid w:val="00BE1D8F"/>
    <w:rsid w:val="00BE2BC5"/>
    <w:rsid w:val="00BE34C4"/>
    <w:rsid w:val="00BE44E9"/>
    <w:rsid w:val="00BE591A"/>
    <w:rsid w:val="00BE6619"/>
    <w:rsid w:val="00BE7803"/>
    <w:rsid w:val="00BE7FEA"/>
    <w:rsid w:val="00BF14ED"/>
    <w:rsid w:val="00BF1D93"/>
    <w:rsid w:val="00BF1E99"/>
    <w:rsid w:val="00BF2805"/>
    <w:rsid w:val="00BF29B8"/>
    <w:rsid w:val="00BF2D9B"/>
    <w:rsid w:val="00BF2ECA"/>
    <w:rsid w:val="00BF3D60"/>
    <w:rsid w:val="00BF490F"/>
    <w:rsid w:val="00BF507C"/>
    <w:rsid w:val="00BF56B5"/>
    <w:rsid w:val="00BF5C07"/>
    <w:rsid w:val="00BF6DBA"/>
    <w:rsid w:val="00BF7416"/>
    <w:rsid w:val="00BF7945"/>
    <w:rsid w:val="00C0351C"/>
    <w:rsid w:val="00C03B0B"/>
    <w:rsid w:val="00C049CB"/>
    <w:rsid w:val="00C04FAD"/>
    <w:rsid w:val="00C056AF"/>
    <w:rsid w:val="00C059E1"/>
    <w:rsid w:val="00C05ADB"/>
    <w:rsid w:val="00C07AB8"/>
    <w:rsid w:val="00C10452"/>
    <w:rsid w:val="00C1104E"/>
    <w:rsid w:val="00C12E52"/>
    <w:rsid w:val="00C136B7"/>
    <w:rsid w:val="00C13DD7"/>
    <w:rsid w:val="00C14FA7"/>
    <w:rsid w:val="00C15138"/>
    <w:rsid w:val="00C16226"/>
    <w:rsid w:val="00C16676"/>
    <w:rsid w:val="00C166C6"/>
    <w:rsid w:val="00C1726A"/>
    <w:rsid w:val="00C172D6"/>
    <w:rsid w:val="00C17F99"/>
    <w:rsid w:val="00C200B0"/>
    <w:rsid w:val="00C20240"/>
    <w:rsid w:val="00C21199"/>
    <w:rsid w:val="00C22C40"/>
    <w:rsid w:val="00C230E7"/>
    <w:rsid w:val="00C235E2"/>
    <w:rsid w:val="00C244A5"/>
    <w:rsid w:val="00C24AA4"/>
    <w:rsid w:val="00C2543D"/>
    <w:rsid w:val="00C26294"/>
    <w:rsid w:val="00C26627"/>
    <w:rsid w:val="00C270DB"/>
    <w:rsid w:val="00C3256A"/>
    <w:rsid w:val="00C326D7"/>
    <w:rsid w:val="00C33053"/>
    <w:rsid w:val="00C3479A"/>
    <w:rsid w:val="00C349A6"/>
    <w:rsid w:val="00C349C8"/>
    <w:rsid w:val="00C34D3D"/>
    <w:rsid w:val="00C35063"/>
    <w:rsid w:val="00C35088"/>
    <w:rsid w:val="00C37124"/>
    <w:rsid w:val="00C37554"/>
    <w:rsid w:val="00C41DF4"/>
    <w:rsid w:val="00C437FD"/>
    <w:rsid w:val="00C43F9B"/>
    <w:rsid w:val="00C44177"/>
    <w:rsid w:val="00C4428F"/>
    <w:rsid w:val="00C449F5"/>
    <w:rsid w:val="00C45D21"/>
    <w:rsid w:val="00C50667"/>
    <w:rsid w:val="00C5068D"/>
    <w:rsid w:val="00C50A46"/>
    <w:rsid w:val="00C51288"/>
    <w:rsid w:val="00C51FC6"/>
    <w:rsid w:val="00C5433C"/>
    <w:rsid w:val="00C54AC1"/>
    <w:rsid w:val="00C54C91"/>
    <w:rsid w:val="00C55520"/>
    <w:rsid w:val="00C55A1D"/>
    <w:rsid w:val="00C5699D"/>
    <w:rsid w:val="00C60521"/>
    <w:rsid w:val="00C60A13"/>
    <w:rsid w:val="00C60F45"/>
    <w:rsid w:val="00C6144C"/>
    <w:rsid w:val="00C630F7"/>
    <w:rsid w:val="00C63633"/>
    <w:rsid w:val="00C63FB5"/>
    <w:rsid w:val="00C65CE2"/>
    <w:rsid w:val="00C66918"/>
    <w:rsid w:val="00C67AEB"/>
    <w:rsid w:val="00C70437"/>
    <w:rsid w:val="00C727B9"/>
    <w:rsid w:val="00C72EC9"/>
    <w:rsid w:val="00C73719"/>
    <w:rsid w:val="00C748E7"/>
    <w:rsid w:val="00C75498"/>
    <w:rsid w:val="00C75A96"/>
    <w:rsid w:val="00C766DC"/>
    <w:rsid w:val="00C80445"/>
    <w:rsid w:val="00C822A6"/>
    <w:rsid w:val="00C824F8"/>
    <w:rsid w:val="00C82E40"/>
    <w:rsid w:val="00C8402F"/>
    <w:rsid w:val="00C94960"/>
    <w:rsid w:val="00C94CC9"/>
    <w:rsid w:val="00C95C55"/>
    <w:rsid w:val="00C96142"/>
    <w:rsid w:val="00C9627F"/>
    <w:rsid w:val="00C96DFA"/>
    <w:rsid w:val="00C97404"/>
    <w:rsid w:val="00CA21EE"/>
    <w:rsid w:val="00CA3881"/>
    <w:rsid w:val="00CA4392"/>
    <w:rsid w:val="00CA4D2A"/>
    <w:rsid w:val="00CB033F"/>
    <w:rsid w:val="00CB09C1"/>
    <w:rsid w:val="00CB1B92"/>
    <w:rsid w:val="00CB209C"/>
    <w:rsid w:val="00CB26D3"/>
    <w:rsid w:val="00CB363E"/>
    <w:rsid w:val="00CB500B"/>
    <w:rsid w:val="00CB75D6"/>
    <w:rsid w:val="00CC1006"/>
    <w:rsid w:val="00CC202C"/>
    <w:rsid w:val="00CC279B"/>
    <w:rsid w:val="00CC2899"/>
    <w:rsid w:val="00CC36A5"/>
    <w:rsid w:val="00CC3E79"/>
    <w:rsid w:val="00CC3EC2"/>
    <w:rsid w:val="00CC6622"/>
    <w:rsid w:val="00CC6D2A"/>
    <w:rsid w:val="00CC72C6"/>
    <w:rsid w:val="00CD03F6"/>
    <w:rsid w:val="00CD0D9C"/>
    <w:rsid w:val="00CD12FA"/>
    <w:rsid w:val="00CD1C4F"/>
    <w:rsid w:val="00CD297E"/>
    <w:rsid w:val="00CD4650"/>
    <w:rsid w:val="00CD6742"/>
    <w:rsid w:val="00CD79BF"/>
    <w:rsid w:val="00CD7DBB"/>
    <w:rsid w:val="00CE25DC"/>
    <w:rsid w:val="00CE2702"/>
    <w:rsid w:val="00CE30D9"/>
    <w:rsid w:val="00CE353B"/>
    <w:rsid w:val="00CE4293"/>
    <w:rsid w:val="00CE5038"/>
    <w:rsid w:val="00CE6AA5"/>
    <w:rsid w:val="00CE7DF0"/>
    <w:rsid w:val="00CF002C"/>
    <w:rsid w:val="00CF18E5"/>
    <w:rsid w:val="00CF1E31"/>
    <w:rsid w:val="00CF1FC2"/>
    <w:rsid w:val="00CF3F9C"/>
    <w:rsid w:val="00CF5B98"/>
    <w:rsid w:val="00CF6358"/>
    <w:rsid w:val="00D00591"/>
    <w:rsid w:val="00D024F4"/>
    <w:rsid w:val="00D02853"/>
    <w:rsid w:val="00D02904"/>
    <w:rsid w:val="00D03C4D"/>
    <w:rsid w:val="00D03F66"/>
    <w:rsid w:val="00D042DF"/>
    <w:rsid w:val="00D04E9C"/>
    <w:rsid w:val="00D06E5A"/>
    <w:rsid w:val="00D10864"/>
    <w:rsid w:val="00D111D2"/>
    <w:rsid w:val="00D118EF"/>
    <w:rsid w:val="00D12B99"/>
    <w:rsid w:val="00D15593"/>
    <w:rsid w:val="00D15F61"/>
    <w:rsid w:val="00D20285"/>
    <w:rsid w:val="00D2037B"/>
    <w:rsid w:val="00D206B9"/>
    <w:rsid w:val="00D213E8"/>
    <w:rsid w:val="00D2292A"/>
    <w:rsid w:val="00D241DC"/>
    <w:rsid w:val="00D242AF"/>
    <w:rsid w:val="00D25C21"/>
    <w:rsid w:val="00D27795"/>
    <w:rsid w:val="00D31566"/>
    <w:rsid w:val="00D31D2A"/>
    <w:rsid w:val="00D33D02"/>
    <w:rsid w:val="00D33DFC"/>
    <w:rsid w:val="00D35336"/>
    <w:rsid w:val="00D35978"/>
    <w:rsid w:val="00D35D6B"/>
    <w:rsid w:val="00D35E26"/>
    <w:rsid w:val="00D3724C"/>
    <w:rsid w:val="00D372A3"/>
    <w:rsid w:val="00D40539"/>
    <w:rsid w:val="00D40A61"/>
    <w:rsid w:val="00D41392"/>
    <w:rsid w:val="00D4224C"/>
    <w:rsid w:val="00D440D2"/>
    <w:rsid w:val="00D44365"/>
    <w:rsid w:val="00D44735"/>
    <w:rsid w:val="00D45EA2"/>
    <w:rsid w:val="00D4742A"/>
    <w:rsid w:val="00D47B87"/>
    <w:rsid w:val="00D50352"/>
    <w:rsid w:val="00D524F7"/>
    <w:rsid w:val="00D53126"/>
    <w:rsid w:val="00D53D8B"/>
    <w:rsid w:val="00D550EE"/>
    <w:rsid w:val="00D5587D"/>
    <w:rsid w:val="00D56129"/>
    <w:rsid w:val="00D561D3"/>
    <w:rsid w:val="00D57C41"/>
    <w:rsid w:val="00D57D6B"/>
    <w:rsid w:val="00D6100C"/>
    <w:rsid w:val="00D61E36"/>
    <w:rsid w:val="00D62066"/>
    <w:rsid w:val="00D63257"/>
    <w:rsid w:val="00D647B7"/>
    <w:rsid w:val="00D64A3A"/>
    <w:rsid w:val="00D66317"/>
    <w:rsid w:val="00D66421"/>
    <w:rsid w:val="00D6662F"/>
    <w:rsid w:val="00D6737A"/>
    <w:rsid w:val="00D71048"/>
    <w:rsid w:val="00D71413"/>
    <w:rsid w:val="00D74484"/>
    <w:rsid w:val="00D74524"/>
    <w:rsid w:val="00D7596E"/>
    <w:rsid w:val="00D7647F"/>
    <w:rsid w:val="00D76B3E"/>
    <w:rsid w:val="00D80D1A"/>
    <w:rsid w:val="00D811D9"/>
    <w:rsid w:val="00D81E5F"/>
    <w:rsid w:val="00D82448"/>
    <w:rsid w:val="00D82C84"/>
    <w:rsid w:val="00D847AC"/>
    <w:rsid w:val="00D84BC2"/>
    <w:rsid w:val="00D865A2"/>
    <w:rsid w:val="00D8662D"/>
    <w:rsid w:val="00D86761"/>
    <w:rsid w:val="00D867B5"/>
    <w:rsid w:val="00D877E8"/>
    <w:rsid w:val="00D8792A"/>
    <w:rsid w:val="00D87A70"/>
    <w:rsid w:val="00D87EA0"/>
    <w:rsid w:val="00D90C3F"/>
    <w:rsid w:val="00D9285D"/>
    <w:rsid w:val="00D92984"/>
    <w:rsid w:val="00D94489"/>
    <w:rsid w:val="00D94576"/>
    <w:rsid w:val="00D96475"/>
    <w:rsid w:val="00D96E4D"/>
    <w:rsid w:val="00D97F94"/>
    <w:rsid w:val="00DA140A"/>
    <w:rsid w:val="00DA1A4D"/>
    <w:rsid w:val="00DA28D3"/>
    <w:rsid w:val="00DA52E2"/>
    <w:rsid w:val="00DA5EE7"/>
    <w:rsid w:val="00DA6762"/>
    <w:rsid w:val="00DA6ACA"/>
    <w:rsid w:val="00DB0873"/>
    <w:rsid w:val="00DB14C4"/>
    <w:rsid w:val="00DB1FCD"/>
    <w:rsid w:val="00DB2915"/>
    <w:rsid w:val="00DB298C"/>
    <w:rsid w:val="00DB2A34"/>
    <w:rsid w:val="00DB4E54"/>
    <w:rsid w:val="00DC314F"/>
    <w:rsid w:val="00DC3A72"/>
    <w:rsid w:val="00DC49D0"/>
    <w:rsid w:val="00DC53FD"/>
    <w:rsid w:val="00DC6A67"/>
    <w:rsid w:val="00DC7F59"/>
    <w:rsid w:val="00DD04A9"/>
    <w:rsid w:val="00DD04EE"/>
    <w:rsid w:val="00DD0EB4"/>
    <w:rsid w:val="00DD3E5F"/>
    <w:rsid w:val="00DD41AB"/>
    <w:rsid w:val="00DD4E0D"/>
    <w:rsid w:val="00DD6681"/>
    <w:rsid w:val="00DD75CE"/>
    <w:rsid w:val="00DE09E5"/>
    <w:rsid w:val="00DE1009"/>
    <w:rsid w:val="00DE1562"/>
    <w:rsid w:val="00DE19FD"/>
    <w:rsid w:val="00DE312B"/>
    <w:rsid w:val="00DE4842"/>
    <w:rsid w:val="00DE48F1"/>
    <w:rsid w:val="00DE4F12"/>
    <w:rsid w:val="00DE56B5"/>
    <w:rsid w:val="00DE5C05"/>
    <w:rsid w:val="00DE6368"/>
    <w:rsid w:val="00DE6721"/>
    <w:rsid w:val="00DF043A"/>
    <w:rsid w:val="00DF081E"/>
    <w:rsid w:val="00DF16D7"/>
    <w:rsid w:val="00DF3077"/>
    <w:rsid w:val="00DF340D"/>
    <w:rsid w:val="00DF3FC3"/>
    <w:rsid w:val="00DF5251"/>
    <w:rsid w:val="00DF52A1"/>
    <w:rsid w:val="00DF6377"/>
    <w:rsid w:val="00E0022A"/>
    <w:rsid w:val="00E011F0"/>
    <w:rsid w:val="00E0207E"/>
    <w:rsid w:val="00E0231F"/>
    <w:rsid w:val="00E0372A"/>
    <w:rsid w:val="00E04234"/>
    <w:rsid w:val="00E04A5E"/>
    <w:rsid w:val="00E0615A"/>
    <w:rsid w:val="00E0679B"/>
    <w:rsid w:val="00E102F0"/>
    <w:rsid w:val="00E10F70"/>
    <w:rsid w:val="00E1222E"/>
    <w:rsid w:val="00E13E7A"/>
    <w:rsid w:val="00E15F79"/>
    <w:rsid w:val="00E16B8F"/>
    <w:rsid w:val="00E174D1"/>
    <w:rsid w:val="00E17986"/>
    <w:rsid w:val="00E201D9"/>
    <w:rsid w:val="00E21ABA"/>
    <w:rsid w:val="00E21B67"/>
    <w:rsid w:val="00E24E37"/>
    <w:rsid w:val="00E25322"/>
    <w:rsid w:val="00E25405"/>
    <w:rsid w:val="00E25419"/>
    <w:rsid w:val="00E25CF6"/>
    <w:rsid w:val="00E2669C"/>
    <w:rsid w:val="00E302E9"/>
    <w:rsid w:val="00E3254D"/>
    <w:rsid w:val="00E32B51"/>
    <w:rsid w:val="00E3331E"/>
    <w:rsid w:val="00E33919"/>
    <w:rsid w:val="00E348AA"/>
    <w:rsid w:val="00E35C3E"/>
    <w:rsid w:val="00E36436"/>
    <w:rsid w:val="00E36AB4"/>
    <w:rsid w:val="00E37004"/>
    <w:rsid w:val="00E407D8"/>
    <w:rsid w:val="00E40C89"/>
    <w:rsid w:val="00E41545"/>
    <w:rsid w:val="00E41836"/>
    <w:rsid w:val="00E42639"/>
    <w:rsid w:val="00E42771"/>
    <w:rsid w:val="00E43A05"/>
    <w:rsid w:val="00E43E18"/>
    <w:rsid w:val="00E44229"/>
    <w:rsid w:val="00E4438E"/>
    <w:rsid w:val="00E443C0"/>
    <w:rsid w:val="00E45361"/>
    <w:rsid w:val="00E45A44"/>
    <w:rsid w:val="00E45DB1"/>
    <w:rsid w:val="00E45EDF"/>
    <w:rsid w:val="00E45FCF"/>
    <w:rsid w:val="00E461F5"/>
    <w:rsid w:val="00E47F5D"/>
    <w:rsid w:val="00E5060D"/>
    <w:rsid w:val="00E5223F"/>
    <w:rsid w:val="00E52261"/>
    <w:rsid w:val="00E53C6B"/>
    <w:rsid w:val="00E547B8"/>
    <w:rsid w:val="00E56480"/>
    <w:rsid w:val="00E564AD"/>
    <w:rsid w:val="00E56E26"/>
    <w:rsid w:val="00E600C0"/>
    <w:rsid w:val="00E602BA"/>
    <w:rsid w:val="00E606B1"/>
    <w:rsid w:val="00E61176"/>
    <w:rsid w:val="00E619F9"/>
    <w:rsid w:val="00E62214"/>
    <w:rsid w:val="00E62A8A"/>
    <w:rsid w:val="00E62C83"/>
    <w:rsid w:val="00E63FAA"/>
    <w:rsid w:val="00E645A6"/>
    <w:rsid w:val="00E6685E"/>
    <w:rsid w:val="00E66F8C"/>
    <w:rsid w:val="00E701D0"/>
    <w:rsid w:val="00E70E43"/>
    <w:rsid w:val="00E71DC7"/>
    <w:rsid w:val="00E71E45"/>
    <w:rsid w:val="00E72E7B"/>
    <w:rsid w:val="00E73B07"/>
    <w:rsid w:val="00E73B5D"/>
    <w:rsid w:val="00E73E4F"/>
    <w:rsid w:val="00E7437A"/>
    <w:rsid w:val="00E7454D"/>
    <w:rsid w:val="00E745EE"/>
    <w:rsid w:val="00E74E53"/>
    <w:rsid w:val="00E7688D"/>
    <w:rsid w:val="00E768B7"/>
    <w:rsid w:val="00E76996"/>
    <w:rsid w:val="00E76D8E"/>
    <w:rsid w:val="00E77A2B"/>
    <w:rsid w:val="00E77AC1"/>
    <w:rsid w:val="00E77D0D"/>
    <w:rsid w:val="00E80A98"/>
    <w:rsid w:val="00E825D3"/>
    <w:rsid w:val="00E8275D"/>
    <w:rsid w:val="00E83060"/>
    <w:rsid w:val="00E831C2"/>
    <w:rsid w:val="00E834DD"/>
    <w:rsid w:val="00E84083"/>
    <w:rsid w:val="00E842B0"/>
    <w:rsid w:val="00E84A28"/>
    <w:rsid w:val="00E84BF4"/>
    <w:rsid w:val="00E854B7"/>
    <w:rsid w:val="00E85F3F"/>
    <w:rsid w:val="00E8640A"/>
    <w:rsid w:val="00E87869"/>
    <w:rsid w:val="00E879D4"/>
    <w:rsid w:val="00E87B52"/>
    <w:rsid w:val="00E902BD"/>
    <w:rsid w:val="00E91504"/>
    <w:rsid w:val="00E918E7"/>
    <w:rsid w:val="00E91B36"/>
    <w:rsid w:val="00E91D4B"/>
    <w:rsid w:val="00E925F5"/>
    <w:rsid w:val="00E92B16"/>
    <w:rsid w:val="00E93F55"/>
    <w:rsid w:val="00E94F43"/>
    <w:rsid w:val="00E95AF7"/>
    <w:rsid w:val="00E95BB0"/>
    <w:rsid w:val="00E9647C"/>
    <w:rsid w:val="00E9713B"/>
    <w:rsid w:val="00E9799E"/>
    <w:rsid w:val="00EA0FBF"/>
    <w:rsid w:val="00EA3CEE"/>
    <w:rsid w:val="00EA4E15"/>
    <w:rsid w:val="00EA5EE2"/>
    <w:rsid w:val="00EA69DE"/>
    <w:rsid w:val="00EA7175"/>
    <w:rsid w:val="00EB1941"/>
    <w:rsid w:val="00EB1BC4"/>
    <w:rsid w:val="00EB1CBC"/>
    <w:rsid w:val="00EB37B7"/>
    <w:rsid w:val="00EB3B4F"/>
    <w:rsid w:val="00EB3F54"/>
    <w:rsid w:val="00EB4009"/>
    <w:rsid w:val="00EB42A6"/>
    <w:rsid w:val="00EB6F78"/>
    <w:rsid w:val="00EC04CB"/>
    <w:rsid w:val="00EC0FD5"/>
    <w:rsid w:val="00EC1CE4"/>
    <w:rsid w:val="00EC242C"/>
    <w:rsid w:val="00EC2908"/>
    <w:rsid w:val="00EC2FC7"/>
    <w:rsid w:val="00EC422E"/>
    <w:rsid w:val="00EC45DA"/>
    <w:rsid w:val="00EC4B9F"/>
    <w:rsid w:val="00ED0256"/>
    <w:rsid w:val="00ED02B8"/>
    <w:rsid w:val="00ED0CDD"/>
    <w:rsid w:val="00ED1D1A"/>
    <w:rsid w:val="00ED2E99"/>
    <w:rsid w:val="00ED2F41"/>
    <w:rsid w:val="00ED3E35"/>
    <w:rsid w:val="00ED431A"/>
    <w:rsid w:val="00ED4A21"/>
    <w:rsid w:val="00ED5944"/>
    <w:rsid w:val="00ED7786"/>
    <w:rsid w:val="00ED7BFE"/>
    <w:rsid w:val="00EE0EC7"/>
    <w:rsid w:val="00EE13FE"/>
    <w:rsid w:val="00EE1EEE"/>
    <w:rsid w:val="00EE1F80"/>
    <w:rsid w:val="00EE22ED"/>
    <w:rsid w:val="00EE2C88"/>
    <w:rsid w:val="00EE3274"/>
    <w:rsid w:val="00EE39A9"/>
    <w:rsid w:val="00EE3E2B"/>
    <w:rsid w:val="00EE3F8C"/>
    <w:rsid w:val="00EE5C0E"/>
    <w:rsid w:val="00EE5F25"/>
    <w:rsid w:val="00EE6542"/>
    <w:rsid w:val="00EE706B"/>
    <w:rsid w:val="00EF0A42"/>
    <w:rsid w:val="00EF14BA"/>
    <w:rsid w:val="00EF1D0C"/>
    <w:rsid w:val="00EF2C96"/>
    <w:rsid w:val="00EF2CCF"/>
    <w:rsid w:val="00EF2D85"/>
    <w:rsid w:val="00EF4CA3"/>
    <w:rsid w:val="00EF5BE7"/>
    <w:rsid w:val="00EF5E6A"/>
    <w:rsid w:val="00EF7008"/>
    <w:rsid w:val="00EF787A"/>
    <w:rsid w:val="00EF7FAD"/>
    <w:rsid w:val="00F00506"/>
    <w:rsid w:val="00F01FAF"/>
    <w:rsid w:val="00F036A2"/>
    <w:rsid w:val="00F06B1D"/>
    <w:rsid w:val="00F06E99"/>
    <w:rsid w:val="00F0779C"/>
    <w:rsid w:val="00F10205"/>
    <w:rsid w:val="00F10544"/>
    <w:rsid w:val="00F10AF4"/>
    <w:rsid w:val="00F11F79"/>
    <w:rsid w:val="00F155FE"/>
    <w:rsid w:val="00F15A42"/>
    <w:rsid w:val="00F16832"/>
    <w:rsid w:val="00F16A11"/>
    <w:rsid w:val="00F172BC"/>
    <w:rsid w:val="00F17E53"/>
    <w:rsid w:val="00F20533"/>
    <w:rsid w:val="00F21BFE"/>
    <w:rsid w:val="00F22447"/>
    <w:rsid w:val="00F2397C"/>
    <w:rsid w:val="00F239BB"/>
    <w:rsid w:val="00F241D5"/>
    <w:rsid w:val="00F2749C"/>
    <w:rsid w:val="00F27D3F"/>
    <w:rsid w:val="00F27D69"/>
    <w:rsid w:val="00F325F4"/>
    <w:rsid w:val="00F32AD2"/>
    <w:rsid w:val="00F32D79"/>
    <w:rsid w:val="00F33237"/>
    <w:rsid w:val="00F35C4C"/>
    <w:rsid w:val="00F36ACE"/>
    <w:rsid w:val="00F37C50"/>
    <w:rsid w:val="00F40CBC"/>
    <w:rsid w:val="00F4179B"/>
    <w:rsid w:val="00F41C54"/>
    <w:rsid w:val="00F43704"/>
    <w:rsid w:val="00F4383C"/>
    <w:rsid w:val="00F43DE1"/>
    <w:rsid w:val="00F447F0"/>
    <w:rsid w:val="00F45E18"/>
    <w:rsid w:val="00F46597"/>
    <w:rsid w:val="00F4737A"/>
    <w:rsid w:val="00F51BBA"/>
    <w:rsid w:val="00F54632"/>
    <w:rsid w:val="00F56AA7"/>
    <w:rsid w:val="00F56C0D"/>
    <w:rsid w:val="00F57021"/>
    <w:rsid w:val="00F60941"/>
    <w:rsid w:val="00F61D50"/>
    <w:rsid w:val="00F631C0"/>
    <w:rsid w:val="00F645EC"/>
    <w:rsid w:val="00F646A7"/>
    <w:rsid w:val="00F64750"/>
    <w:rsid w:val="00F6556D"/>
    <w:rsid w:val="00F65636"/>
    <w:rsid w:val="00F656E0"/>
    <w:rsid w:val="00F6581C"/>
    <w:rsid w:val="00F66402"/>
    <w:rsid w:val="00F674CC"/>
    <w:rsid w:val="00F70FE8"/>
    <w:rsid w:val="00F7138E"/>
    <w:rsid w:val="00F73389"/>
    <w:rsid w:val="00F738ED"/>
    <w:rsid w:val="00F73ED0"/>
    <w:rsid w:val="00F766D3"/>
    <w:rsid w:val="00F76CAC"/>
    <w:rsid w:val="00F77CB9"/>
    <w:rsid w:val="00F80112"/>
    <w:rsid w:val="00F82884"/>
    <w:rsid w:val="00F84115"/>
    <w:rsid w:val="00F842EB"/>
    <w:rsid w:val="00F84538"/>
    <w:rsid w:val="00F84A00"/>
    <w:rsid w:val="00F852FE"/>
    <w:rsid w:val="00F85360"/>
    <w:rsid w:val="00F858C0"/>
    <w:rsid w:val="00F86B8C"/>
    <w:rsid w:val="00F8704C"/>
    <w:rsid w:val="00F93EF4"/>
    <w:rsid w:val="00F944CC"/>
    <w:rsid w:val="00F94E3B"/>
    <w:rsid w:val="00F95579"/>
    <w:rsid w:val="00F977D6"/>
    <w:rsid w:val="00FA13FF"/>
    <w:rsid w:val="00FA1F6E"/>
    <w:rsid w:val="00FA3D5E"/>
    <w:rsid w:val="00FA44C2"/>
    <w:rsid w:val="00FB1931"/>
    <w:rsid w:val="00FB29DC"/>
    <w:rsid w:val="00FB3E87"/>
    <w:rsid w:val="00FB3F4A"/>
    <w:rsid w:val="00FB4220"/>
    <w:rsid w:val="00FB465A"/>
    <w:rsid w:val="00FB5F6A"/>
    <w:rsid w:val="00FB7599"/>
    <w:rsid w:val="00FC0158"/>
    <w:rsid w:val="00FC0955"/>
    <w:rsid w:val="00FC11C0"/>
    <w:rsid w:val="00FC2B9D"/>
    <w:rsid w:val="00FC325A"/>
    <w:rsid w:val="00FC4E94"/>
    <w:rsid w:val="00FC55E9"/>
    <w:rsid w:val="00FC5A61"/>
    <w:rsid w:val="00FC5D92"/>
    <w:rsid w:val="00FD0A3E"/>
    <w:rsid w:val="00FD0A86"/>
    <w:rsid w:val="00FD2104"/>
    <w:rsid w:val="00FD23F4"/>
    <w:rsid w:val="00FD30E2"/>
    <w:rsid w:val="00FD4484"/>
    <w:rsid w:val="00FD4581"/>
    <w:rsid w:val="00FD5CE8"/>
    <w:rsid w:val="00FD688D"/>
    <w:rsid w:val="00FD6C48"/>
    <w:rsid w:val="00FD7D0C"/>
    <w:rsid w:val="00FE01EB"/>
    <w:rsid w:val="00FE130A"/>
    <w:rsid w:val="00FE2F5B"/>
    <w:rsid w:val="00FE301E"/>
    <w:rsid w:val="00FE302D"/>
    <w:rsid w:val="00FE60D1"/>
    <w:rsid w:val="00FE7F54"/>
    <w:rsid w:val="00FF057A"/>
    <w:rsid w:val="00FF1A02"/>
    <w:rsid w:val="00FF1AAF"/>
    <w:rsid w:val="00FF3A03"/>
    <w:rsid w:val="00FF6715"/>
    <w:rsid w:val="1A852F89"/>
    <w:rsid w:val="49533DF9"/>
    <w:rsid w:val="57A8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8DE6"/>
  <w14:defaultImageDpi w14:val="300"/>
  <w15:docId w15:val="{D01269D4-503A-413F-B25E-201A49DB7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uiPriority w:val="99"/>
    <w:qFormat/>
    <w:pPr>
      <w:jc w:val="left"/>
    </w:pPr>
    <w:rPr>
      <w:lang w:val="zh-CN"/>
    </w:rPr>
  </w:style>
  <w:style w:type="paragraph" w:styleId="a7">
    <w:name w:val="Date"/>
    <w:basedOn w:val="a"/>
    <w:next w:val="a"/>
    <w:link w:val="a8"/>
    <w:uiPriority w:val="99"/>
    <w:semiHidden/>
    <w:unhideWhenUsed/>
    <w:qFormat/>
    <w:pPr>
      <w:ind w:leftChars="2500" w:left="100"/>
    </w:pPr>
    <w:rPr>
      <w:lang w:val="zh-CN"/>
    </w:rPr>
  </w:style>
  <w:style w:type="paragraph" w:styleId="a9">
    <w:name w:val="Balloon Text"/>
    <w:basedOn w:val="a"/>
    <w:semiHidden/>
    <w:rPr>
      <w:sz w:val="18"/>
      <w:szCs w:val="18"/>
    </w:rPr>
  </w:style>
  <w:style w:type="paragraph" w:styleId="aa">
    <w:name w:val="footer"/>
    <w:basedOn w:val="a"/>
    <w:link w:val="ab"/>
    <w:uiPriority w:val="99"/>
    <w:unhideWhenUsed/>
    <w:pPr>
      <w:tabs>
        <w:tab w:val="center" w:pos="4153"/>
        <w:tab w:val="right" w:pos="8306"/>
      </w:tabs>
      <w:snapToGrid w:val="0"/>
      <w:jc w:val="left"/>
    </w:pPr>
    <w:rPr>
      <w:kern w:val="0"/>
      <w:sz w:val="18"/>
      <w:szCs w:val="18"/>
      <w:lang w:val="zh-CN"/>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kern w:val="0"/>
      <w:sz w:val="18"/>
      <w:szCs w:val="18"/>
      <w:lang w:val="zh-CN"/>
    </w:rPr>
  </w:style>
  <w:style w:type="paragraph" w:styleId="ae">
    <w:name w:val="annotation subject"/>
    <w:basedOn w:val="a5"/>
    <w:next w:val="a5"/>
    <w:semiHidden/>
    <w:qFormat/>
    <w:rPr>
      <w:b/>
      <w:bCs/>
    </w:rPr>
  </w:style>
  <w:style w:type="table" w:styleId="af">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uiPriority w:val="99"/>
    <w:unhideWhenUsed/>
    <w:rPr>
      <w:color w:val="0000FF"/>
      <w:u w:val="single"/>
    </w:rPr>
  </w:style>
  <w:style w:type="character" w:styleId="af1">
    <w:name w:val="annotation reference"/>
    <w:uiPriority w:val="99"/>
    <w:qFormat/>
    <w:rPr>
      <w:sz w:val="21"/>
      <w:szCs w:val="21"/>
    </w:rPr>
  </w:style>
  <w:style w:type="character" w:customStyle="1" w:styleId="ad">
    <w:name w:val="页眉 字符"/>
    <w:link w:val="ac"/>
    <w:uiPriority w:val="99"/>
    <w:rPr>
      <w:sz w:val="18"/>
      <w:szCs w:val="18"/>
    </w:rPr>
  </w:style>
  <w:style w:type="character" w:customStyle="1" w:styleId="ab">
    <w:name w:val="页脚 字符"/>
    <w:link w:val="aa"/>
    <w:uiPriority w:val="99"/>
    <w:rPr>
      <w:sz w:val="18"/>
      <w:szCs w:val="18"/>
    </w:rPr>
  </w:style>
  <w:style w:type="paragraph" w:customStyle="1" w:styleId="1-41">
    <w:name w:val="中等深浅列表 1 - 强调文字颜色 41"/>
    <w:hidden/>
    <w:uiPriority w:val="99"/>
    <w:semiHidden/>
    <w:qFormat/>
    <w:rPr>
      <w:kern w:val="2"/>
      <w:sz w:val="21"/>
      <w:szCs w:val="22"/>
    </w:rPr>
  </w:style>
  <w:style w:type="character" w:customStyle="1" w:styleId="a8">
    <w:name w:val="日期 字符"/>
    <w:link w:val="a7"/>
    <w:uiPriority w:val="99"/>
    <w:semiHidden/>
    <w:qFormat/>
    <w:rPr>
      <w:kern w:val="2"/>
      <w:sz w:val="21"/>
      <w:szCs w:val="22"/>
    </w:rPr>
  </w:style>
  <w:style w:type="character" w:customStyle="1" w:styleId="a4">
    <w:name w:val="文档结构图 字符"/>
    <w:link w:val="a3"/>
    <w:uiPriority w:val="99"/>
    <w:semiHidden/>
    <w:qFormat/>
    <w:rPr>
      <w:rFonts w:ascii="宋体"/>
      <w:kern w:val="2"/>
      <w:sz w:val="18"/>
      <w:szCs w:val="18"/>
    </w:rPr>
  </w:style>
  <w:style w:type="paragraph" w:customStyle="1" w:styleId="Af2">
    <w:name w:val="正文A"/>
    <w:basedOn w:val="a"/>
    <w:next w:val="a"/>
    <w:link w:val="AChar"/>
    <w:qFormat/>
    <w:pPr>
      <w:spacing w:beforeLines="50" w:afterLines="50" w:line="360" w:lineRule="auto"/>
      <w:ind w:firstLineChars="200" w:firstLine="480"/>
    </w:pPr>
    <w:rPr>
      <w:rFonts w:ascii="Times New Roman" w:hAnsi="Times New Roman"/>
      <w:kern w:val="0"/>
      <w:sz w:val="24"/>
      <w:szCs w:val="20"/>
      <w:lang w:val="zh-CN"/>
    </w:rPr>
  </w:style>
  <w:style w:type="character" w:customStyle="1" w:styleId="AChar">
    <w:name w:val="正文A Char"/>
    <w:link w:val="Af2"/>
    <w:qFormat/>
    <w:rPr>
      <w:rFonts w:ascii="Times New Roman" w:hAnsi="Times New Roman"/>
      <w:sz w:val="24"/>
    </w:rPr>
  </w:style>
  <w:style w:type="paragraph" w:customStyle="1" w:styleId="2">
    <w:name w:val="标题2级 中文数子"/>
    <w:basedOn w:val="a"/>
    <w:link w:val="2Char"/>
    <w:qFormat/>
    <w:pPr>
      <w:spacing w:beforeLines="50" w:afterLines="50" w:line="360" w:lineRule="auto"/>
      <w:outlineLvl w:val="1"/>
    </w:pPr>
    <w:rPr>
      <w:rFonts w:ascii="黑体" w:eastAsia="黑体" w:hAnsi="Times New Roman"/>
      <w:b/>
      <w:kern w:val="0"/>
      <w:sz w:val="24"/>
      <w:szCs w:val="28"/>
      <w:lang w:val="zh-CN"/>
    </w:rPr>
  </w:style>
  <w:style w:type="character" w:customStyle="1" w:styleId="2Char">
    <w:name w:val="标题2级 中文数子 Char"/>
    <w:link w:val="2"/>
    <w:qFormat/>
    <w:rPr>
      <w:rFonts w:ascii="黑体" w:eastAsia="黑体" w:hAnsi="Times New Roman"/>
      <w:b/>
      <w:sz w:val="24"/>
      <w:szCs w:val="28"/>
    </w:rPr>
  </w:style>
  <w:style w:type="paragraph" w:customStyle="1" w:styleId="af3">
    <w:name w:val="表格上方单位"/>
    <w:basedOn w:val="a"/>
    <w:link w:val="Char"/>
    <w:qFormat/>
    <w:pPr>
      <w:snapToGrid w:val="0"/>
      <w:spacing w:beforeLines="50"/>
      <w:ind w:firstLine="482"/>
      <w:jc w:val="right"/>
    </w:pPr>
    <w:rPr>
      <w:rFonts w:ascii="Times New Roman" w:hAnsi="Times New Roman"/>
      <w:szCs w:val="28"/>
      <w:lang w:val="zh-CN"/>
    </w:rPr>
  </w:style>
  <w:style w:type="character" w:customStyle="1" w:styleId="Char">
    <w:name w:val="表格上方单位 Char"/>
    <w:link w:val="af3"/>
    <w:qFormat/>
    <w:rPr>
      <w:rFonts w:ascii="Times New Roman" w:hAnsi="Times New Roman"/>
      <w:kern w:val="2"/>
      <w:sz w:val="21"/>
      <w:szCs w:val="28"/>
    </w:rPr>
  </w:style>
  <w:style w:type="paragraph" w:customStyle="1" w:styleId="af4">
    <w:name w:val="报告正文"/>
    <w:basedOn w:val="a"/>
    <w:link w:val="Char0"/>
    <w:qFormat/>
    <w:pPr>
      <w:snapToGrid w:val="0"/>
      <w:spacing w:beforeLines="50" w:afterLines="50" w:line="360" w:lineRule="auto"/>
      <w:ind w:firstLine="480"/>
    </w:pPr>
    <w:rPr>
      <w:rFonts w:ascii="Times New Roman" w:hAnsi="Times New Roman"/>
      <w:sz w:val="24"/>
      <w:szCs w:val="28"/>
      <w:lang w:val="zh-CN"/>
    </w:rPr>
  </w:style>
  <w:style w:type="character" w:customStyle="1" w:styleId="Char0">
    <w:name w:val="报告正文 Char"/>
    <w:link w:val="af4"/>
    <w:qFormat/>
    <w:rPr>
      <w:rFonts w:ascii="Times New Roman" w:hAnsi="Times New Roman"/>
      <w:kern w:val="2"/>
      <w:sz w:val="24"/>
      <w:szCs w:val="28"/>
    </w:rPr>
  </w:style>
  <w:style w:type="character" w:customStyle="1" w:styleId="a6">
    <w:name w:val="批注文字 字符"/>
    <w:link w:val="a5"/>
    <w:uiPriority w:val="99"/>
    <w:qFormat/>
    <w:rPr>
      <w:kern w:val="2"/>
      <w:sz w:val="21"/>
      <w:szCs w:val="22"/>
    </w:rPr>
  </w:style>
  <w:style w:type="paragraph" w:customStyle="1" w:styleId="-11">
    <w:name w:val="彩色底纹 - 强调文字颜色 11"/>
    <w:hidden/>
    <w:uiPriority w:val="99"/>
    <w:semiHidden/>
    <w:qFormat/>
    <w:rPr>
      <w:kern w:val="2"/>
      <w:sz w:val="21"/>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5">
    <w:name w:val="内容"/>
    <w:basedOn w:val="a"/>
    <w:link w:val="Char1"/>
    <w:qFormat/>
    <w:pPr>
      <w:ind w:firstLine="624"/>
    </w:pPr>
    <w:rPr>
      <w:rFonts w:ascii="仿宋" w:hAnsi="仿宋"/>
      <w:sz w:val="28"/>
      <w:szCs w:val="24"/>
    </w:rPr>
  </w:style>
  <w:style w:type="character" w:customStyle="1" w:styleId="Char1">
    <w:name w:val="内容 Char"/>
    <w:link w:val="af5"/>
    <w:qFormat/>
    <w:rPr>
      <w:rFonts w:ascii="仿宋" w:hAnsi="仿宋"/>
      <w:kern w:val="2"/>
      <w:sz w:val="28"/>
      <w:szCs w:val="24"/>
    </w:rPr>
  </w:style>
  <w:style w:type="paragraph" w:styleId="af6">
    <w:name w:val="List Paragraph"/>
    <w:basedOn w:val="a"/>
    <w:uiPriority w:val="99"/>
    <w:pPr>
      <w:ind w:firstLineChars="200" w:firstLine="420"/>
    </w:pPr>
  </w:style>
  <w:style w:type="paragraph" w:styleId="af7">
    <w:name w:val="Revision"/>
    <w:hidden/>
    <w:uiPriority w:val="99"/>
    <w:unhideWhenUsed/>
    <w:rsid w:val="00A514A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A9773-3D05-4F78-AEE8-58D53CE8E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547</Words>
  <Characters>3118</Characters>
  <Application>Microsoft Office Word</Application>
  <DocSecurity>0</DocSecurity>
  <Lines>25</Lines>
  <Paragraphs>7</Paragraphs>
  <ScaleCrop>false</ScaleCrop>
  <Company>微软中国</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股票代码：002672          股票简称：东江环保             公告编号：2012－4</dc:title>
  <dc:creator>USER</dc:creator>
  <cp:lastModifiedBy>林德生</cp:lastModifiedBy>
  <cp:revision>29</cp:revision>
  <dcterms:created xsi:type="dcterms:W3CDTF">2022-03-21T06:20:00Z</dcterms:created>
  <dcterms:modified xsi:type="dcterms:W3CDTF">2026-03-27T09:41:00Z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BF5898977E8D411AB7B53F9BC59C096A</vt:lpwstr>
  </property>
</Properties>
</file>