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07F21" w14:textId="77777777" w:rsidR="00DE4FC7" w:rsidRDefault="00000000">
      <w:pPr>
        <w:spacing w:beforeLines="100" w:before="240" w:afterLines="100" w:after="240"/>
        <w:jc w:val="center"/>
        <w:rPr>
          <w:b/>
          <w:bCs/>
          <w:sz w:val="30"/>
          <w:szCs w:val="30"/>
        </w:rPr>
      </w:pPr>
      <w:bookmarkStart w:id="0" w:name="_Toc140559628"/>
      <w:bookmarkStart w:id="1" w:name="_Toc140559353"/>
      <w:r>
        <w:rPr>
          <w:rFonts w:hint="eastAsia"/>
          <w:b/>
          <w:bCs/>
          <w:sz w:val="30"/>
          <w:szCs w:val="30"/>
        </w:rPr>
        <w:t>东江环保股份有限公司</w:t>
      </w:r>
    </w:p>
    <w:bookmarkEnd w:id="0"/>
    <w:bookmarkEnd w:id="1"/>
    <w:p w14:paraId="5E69F1D3" w14:textId="77777777" w:rsidR="00DE4FC7" w:rsidRDefault="00000000">
      <w:pPr>
        <w:spacing w:beforeLines="100" w:before="240" w:afterLines="100" w:after="240"/>
        <w:jc w:val="center"/>
        <w:rPr>
          <w:b/>
          <w:bCs/>
          <w:sz w:val="30"/>
          <w:szCs w:val="30"/>
        </w:rPr>
      </w:pPr>
      <w:r>
        <w:rPr>
          <w:rFonts w:hint="eastAsia"/>
          <w:b/>
          <w:bCs/>
          <w:sz w:val="30"/>
          <w:szCs w:val="30"/>
        </w:rPr>
        <w:t>信息披露暂缓与豁免管理制度</w:t>
      </w:r>
    </w:p>
    <w:p w14:paraId="216F0784" w14:textId="77777777" w:rsidR="00DE4FC7" w:rsidRDefault="00000000">
      <w:pPr>
        <w:pStyle w:val="a9"/>
        <w:spacing w:beforeLines="100" w:afterLines="150" w:after="360"/>
        <w:rPr>
          <w:rFonts w:hint="eastAsia"/>
          <w:sz w:val="21"/>
          <w:szCs w:val="21"/>
        </w:rPr>
      </w:pPr>
      <w:r>
        <w:rPr>
          <w:rFonts w:hint="eastAsia"/>
          <w:sz w:val="21"/>
          <w:szCs w:val="21"/>
        </w:rPr>
        <w:t>第一章</w:t>
      </w:r>
      <w:r>
        <w:rPr>
          <w:sz w:val="21"/>
          <w:szCs w:val="21"/>
        </w:rPr>
        <w:t xml:space="preserve">  </w:t>
      </w:r>
      <w:r>
        <w:rPr>
          <w:rFonts w:hint="eastAsia"/>
          <w:sz w:val="21"/>
          <w:szCs w:val="21"/>
        </w:rPr>
        <w:t>总则</w:t>
      </w:r>
    </w:p>
    <w:p w14:paraId="3B8020F4" w14:textId="06F40DC0"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rFonts w:ascii="宋体" w:hAnsi="宋体" w:hint="eastAsia"/>
          <w:sz w:val="21"/>
          <w:szCs w:val="21"/>
        </w:rPr>
      </w:pPr>
      <w:r>
        <w:rPr>
          <w:rFonts w:hint="eastAsia"/>
          <w:sz w:val="21"/>
        </w:rPr>
        <w:t>为规范东江环保股份有限公司（以下简称“公司”）信息披露暂缓与豁免行为，确保公司及相关信息披露义务人依法合</w:t>
      </w:r>
      <w:proofErr w:type="gramStart"/>
      <w:r>
        <w:rPr>
          <w:rFonts w:hint="eastAsia"/>
          <w:sz w:val="21"/>
        </w:rPr>
        <w:t>规</w:t>
      </w:r>
      <w:proofErr w:type="gramEnd"/>
      <w:r>
        <w:rPr>
          <w:rFonts w:hint="eastAsia"/>
          <w:sz w:val="21"/>
        </w:rPr>
        <w:t>履行信息披露义务，保护投资者的合法权益，根据《中华人民共和国公司法》《中华人民共和国证券法》《上市公司信息披露管理办法》《上市公司信息披露暂缓与豁免管理规定》《深圳证券交易所股票上市规则》等</w:t>
      </w:r>
      <w:proofErr w:type="gramStart"/>
      <w:r>
        <w:rPr>
          <w:rFonts w:hint="eastAsia"/>
          <w:sz w:val="21"/>
        </w:rPr>
        <w:t>相关法律</w:t>
      </w:r>
      <w:proofErr w:type="gramEnd"/>
      <w:r>
        <w:rPr>
          <w:rFonts w:hint="eastAsia"/>
          <w:sz w:val="21"/>
        </w:rPr>
        <w:t>法规、规范性文件和《公司章程》等有关规定，结合公司信息披露工作的实际情况，制定本制度。</w:t>
      </w:r>
    </w:p>
    <w:p w14:paraId="3D7D0DDA"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rFonts w:ascii="宋体" w:hAnsi="宋体" w:hint="eastAsia"/>
          <w:sz w:val="21"/>
          <w:szCs w:val="21"/>
        </w:rPr>
      </w:pPr>
      <w:r>
        <w:rPr>
          <w:rFonts w:hint="eastAsia"/>
          <w:sz w:val="21"/>
        </w:rPr>
        <w:t>公司和信息披露义务人暂缓、豁免披露临时报告，在定期报告、临时报告中豁免披露中国证券监督管理委员会（以下简称“中国证监会”）和证券交易所规定或者要求披露的内容，适用本制度。</w:t>
      </w:r>
    </w:p>
    <w:p w14:paraId="01893C8A"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rFonts w:ascii="宋体" w:hAnsi="宋体" w:hint="eastAsia"/>
          <w:sz w:val="21"/>
          <w:szCs w:val="21"/>
        </w:rPr>
      </w:pPr>
      <w:r>
        <w:rPr>
          <w:rFonts w:hint="eastAsia"/>
          <w:sz w:val="21"/>
        </w:rPr>
        <w:t>公司和信息披露义务人应当真实、准确、完整、及时、公平地披露信息，不得滥用暂缓或者豁免披露规避信息披露义务、误导投资者，不得实施内幕交易、操纵市场等违法行为。</w:t>
      </w:r>
    </w:p>
    <w:p w14:paraId="08E43388" w14:textId="147148F8"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rFonts w:ascii="宋体" w:hAnsi="宋体" w:hint="eastAsia"/>
          <w:sz w:val="21"/>
          <w:szCs w:val="21"/>
        </w:rPr>
      </w:pPr>
      <w:r>
        <w:rPr>
          <w:rFonts w:hint="eastAsia"/>
          <w:sz w:val="21"/>
        </w:rPr>
        <w:t>公司和信息披露义务人应当审慎确定信息披露暂缓、豁免事项，在履行内部审核程序后实施。</w:t>
      </w:r>
    </w:p>
    <w:p w14:paraId="3599A121"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rFonts w:ascii="宋体" w:hAnsi="宋体" w:hint="eastAsia"/>
          <w:sz w:val="21"/>
          <w:szCs w:val="21"/>
        </w:rPr>
      </w:pPr>
      <w:r>
        <w:rPr>
          <w:rFonts w:hint="eastAsia"/>
          <w:sz w:val="21"/>
        </w:rPr>
        <w:t>暂缓、豁免事项的范围原则上应当与公司股票首次在证券交易所上市时保持一致，在上市后拟增加暂缓、豁免披露事项的，应当有确实充分的证据。</w:t>
      </w:r>
    </w:p>
    <w:p w14:paraId="61C74138" w14:textId="77777777" w:rsidR="00DE4FC7" w:rsidRDefault="00000000">
      <w:pPr>
        <w:pStyle w:val="a9"/>
        <w:spacing w:beforeLines="100" w:afterLines="150" w:after="360"/>
        <w:rPr>
          <w:rFonts w:hint="eastAsia"/>
          <w:sz w:val="21"/>
          <w:szCs w:val="21"/>
        </w:rPr>
      </w:pPr>
      <w:r>
        <w:rPr>
          <w:rFonts w:hint="eastAsia"/>
          <w:sz w:val="21"/>
          <w:szCs w:val="21"/>
        </w:rPr>
        <w:t>第二章</w:t>
      </w:r>
      <w:r>
        <w:rPr>
          <w:rFonts w:hint="eastAsia"/>
          <w:sz w:val="21"/>
          <w:szCs w:val="21"/>
        </w:rPr>
        <w:t xml:space="preserve">  </w:t>
      </w:r>
      <w:r>
        <w:rPr>
          <w:rFonts w:hint="eastAsia"/>
          <w:sz w:val="21"/>
          <w:szCs w:val="21"/>
        </w:rPr>
        <w:t>信息披露暂缓与豁免的适用情形</w:t>
      </w:r>
    </w:p>
    <w:p w14:paraId="341DFBC7"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公司和信息披露义务人有确实充分的证据证明拟披露的信息涉及国家秘密或者其他因披露可能导致违反国家保密规定、管理要求的事项（以下统称国家秘密），依法豁免披露。</w:t>
      </w:r>
    </w:p>
    <w:p w14:paraId="7D50D37C"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公司和信息披露义务人有保守国家秘密的义务，不得通过信息披露、投资者互动问答、新闻发布、接受采访等任何形式泄露国家秘密，不得以信息涉密为名进行业务宣传。</w:t>
      </w:r>
    </w:p>
    <w:p w14:paraId="20CE4638" w14:textId="77777777" w:rsidR="00DE4FC7" w:rsidRDefault="00000000">
      <w:pPr>
        <w:widowControl/>
        <w:tabs>
          <w:tab w:val="left" w:pos="1080"/>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公司董事长、董事会秘书应当增强保守国家秘密</w:t>
      </w:r>
      <w:proofErr w:type="gramStart"/>
      <w:r>
        <w:rPr>
          <w:rFonts w:hint="eastAsia"/>
          <w:sz w:val="21"/>
        </w:rPr>
        <w:t>的法律意识</w:t>
      </w:r>
      <w:proofErr w:type="gramEnd"/>
      <w:r>
        <w:rPr>
          <w:rFonts w:hint="eastAsia"/>
          <w:sz w:val="21"/>
        </w:rPr>
        <w:t>，保证所披露的信息不违反国家保密规定。</w:t>
      </w:r>
    </w:p>
    <w:p w14:paraId="246883B9"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lastRenderedPageBreak/>
        <w:t>公司和信息披露义务人拟披露的信息涉及商业秘密或者保密商务信息（以下统称商业秘密），符合下列情形之一，且尚未公开或者泄露的，可以暂缓或者豁免披露：</w:t>
      </w:r>
    </w:p>
    <w:p w14:paraId="58921E95" w14:textId="77777777" w:rsidR="00DE4FC7" w:rsidRDefault="00000000">
      <w:pPr>
        <w:widowControl/>
        <w:tabs>
          <w:tab w:val="left" w:pos="1080"/>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（一）属于核心技术信息等，披露后可能引致不正当竞争的；</w:t>
      </w:r>
    </w:p>
    <w:p w14:paraId="78AC13D1" w14:textId="77777777" w:rsidR="00DE4FC7" w:rsidRDefault="00000000">
      <w:pPr>
        <w:widowControl/>
        <w:tabs>
          <w:tab w:val="left" w:pos="1080"/>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（二）属于公司自身经营信息，客户、供应商等他人经营信息，披露后可能侵犯公司、他人商业秘密或者严重损害公司、他人利益的；</w:t>
      </w:r>
    </w:p>
    <w:p w14:paraId="7C812305" w14:textId="77777777" w:rsidR="00DE4FC7" w:rsidRDefault="00000000">
      <w:pPr>
        <w:widowControl/>
        <w:tabs>
          <w:tab w:val="left" w:pos="1080"/>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（三）披露后可能严重损害公司、他人利益的其他情形。</w:t>
      </w:r>
    </w:p>
    <w:p w14:paraId="01297ED1"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公司和信息披露义务人暂缓、豁免披露商业秘密后，出现下列情形之一的，应当及时披露：</w:t>
      </w:r>
    </w:p>
    <w:p w14:paraId="2FF2BF1D"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（一）暂缓、豁免披露原因已消除；</w:t>
      </w:r>
    </w:p>
    <w:p w14:paraId="0E9A954E"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（二）有关信息难以保密；</w:t>
      </w:r>
    </w:p>
    <w:p w14:paraId="5B5E812D"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（三）有关信息已经泄露或者市场出现传闻。</w:t>
      </w:r>
    </w:p>
    <w:p w14:paraId="538E8781" w14:textId="77777777" w:rsidR="00DE4FC7" w:rsidRDefault="00000000">
      <w:pPr>
        <w:pStyle w:val="a9"/>
        <w:spacing w:beforeLines="100" w:afterLines="150" w:after="360"/>
        <w:rPr>
          <w:rFonts w:hint="eastAsia"/>
          <w:sz w:val="21"/>
          <w:szCs w:val="21"/>
        </w:rPr>
      </w:pPr>
      <w:r>
        <w:rPr>
          <w:rFonts w:hint="eastAsia"/>
          <w:sz w:val="21"/>
          <w:szCs w:val="21"/>
        </w:rPr>
        <w:t>第三章</w:t>
      </w:r>
      <w:r>
        <w:rPr>
          <w:rFonts w:hint="eastAsia"/>
          <w:sz w:val="21"/>
          <w:szCs w:val="21"/>
        </w:rPr>
        <w:t xml:space="preserve">  </w:t>
      </w:r>
      <w:r>
        <w:rPr>
          <w:rFonts w:hint="eastAsia"/>
          <w:sz w:val="21"/>
          <w:szCs w:val="21"/>
        </w:rPr>
        <w:t>信息披露暂缓与豁免的内部管理程序</w:t>
      </w:r>
    </w:p>
    <w:p w14:paraId="1DF15474"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sz w:val="21"/>
        </w:rPr>
        <w:t>公司拟披露的定期报告中有关信息涉及国家秘密、商业秘密的，可以采用代称、汇总概括或者隐去关键信息等方式豁免披露该部分信息。</w:t>
      </w:r>
    </w:p>
    <w:p w14:paraId="4E41B1E5" w14:textId="77777777" w:rsidR="00DE4FC7" w:rsidRDefault="00000000">
      <w:pPr>
        <w:widowControl/>
        <w:tabs>
          <w:tab w:val="left" w:pos="1080"/>
          <w:tab w:val="left" w:pos="1540"/>
          <w:tab w:val="left" w:pos="1554"/>
          <w:tab w:val="left" w:pos="1610"/>
          <w:tab w:val="left" w:pos="1721"/>
        </w:tabs>
        <w:snapToGrid w:val="0"/>
        <w:spacing w:beforeLines="50" w:before="120" w:after="100" w:afterAutospacing="1" w:line="300" w:lineRule="auto"/>
        <w:ind w:left="1540"/>
        <w:jc w:val="both"/>
        <w:rPr>
          <w:sz w:val="21"/>
        </w:rPr>
      </w:pPr>
      <w:r>
        <w:rPr>
          <w:rFonts w:hint="eastAsia"/>
          <w:sz w:val="21"/>
        </w:rPr>
        <w:t>公司和</w:t>
      </w:r>
      <w:r>
        <w:rPr>
          <w:sz w:val="21"/>
        </w:rPr>
        <w:t>信息披露义务人拟披露的临时报告中有关信息涉及国家秘密、商业秘密的，可以采用代称、汇总概括或者隐去关键信息等方式豁免披露该部分信息；在采用上述方式处理后</w:t>
      </w:r>
      <w:proofErr w:type="gramStart"/>
      <w:r>
        <w:rPr>
          <w:sz w:val="21"/>
        </w:rPr>
        <w:t>披露仍</w:t>
      </w:r>
      <w:proofErr w:type="gramEnd"/>
      <w:r>
        <w:rPr>
          <w:sz w:val="21"/>
        </w:rPr>
        <w:t>存在泄密风险的，可以豁免披露临时报告。</w:t>
      </w:r>
    </w:p>
    <w:p w14:paraId="49526A2B"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公司和</w:t>
      </w:r>
      <w:r>
        <w:rPr>
          <w:sz w:val="21"/>
        </w:rPr>
        <w:t>信息披露义务人暂缓披露临时报告或者临时报告中有关内容的，应当在暂缓披露原因消除后及时披露，同时说明将该信息认定为商业秘密的主要理由、内部审核程序以及暂缓披露期限内相关知情人买卖证券的情况等。</w:t>
      </w:r>
    </w:p>
    <w:p w14:paraId="79BFD480"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公司和</w:t>
      </w:r>
      <w:r>
        <w:rPr>
          <w:sz w:val="21"/>
        </w:rPr>
        <w:t>信息披露义务人依照本制度申请对特定信息作暂缓、豁免披露处理的，应当提交相关事项资料至公司董事会秘书，</w:t>
      </w:r>
      <w:r>
        <w:rPr>
          <w:rFonts w:hint="eastAsia"/>
          <w:sz w:val="21"/>
        </w:rPr>
        <w:t>公司和</w:t>
      </w:r>
      <w:r>
        <w:rPr>
          <w:sz w:val="21"/>
        </w:rPr>
        <w:t>信息披露义务人对所提交材料的真实性、准确性、完整性负责。如相关信息不符合暂缓或豁免披露条件的，公司应及时披露相关信息。</w:t>
      </w:r>
    </w:p>
    <w:p w14:paraId="4F482D62"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sz w:val="21"/>
        </w:rPr>
        <w:t>公司决定对特定信息作暂缓、豁免披露处理的，应当由公司董事会秘书负责登记，并经公司董事长签字确认后，交由董事会秘书妥善归档保管，保存期限不得少于十年。</w:t>
      </w:r>
    </w:p>
    <w:p w14:paraId="1F01DE3F"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rFonts w:ascii="Arial" w:hAnsi="Arial" w:cs="Arial"/>
          <w:color w:val="000000"/>
          <w:szCs w:val="24"/>
        </w:rPr>
      </w:pPr>
      <w:r>
        <w:rPr>
          <w:rFonts w:hint="eastAsia"/>
          <w:sz w:val="21"/>
        </w:rPr>
        <w:t>公司和</w:t>
      </w:r>
      <w:r>
        <w:rPr>
          <w:sz w:val="21"/>
        </w:rPr>
        <w:t>信息披露义务人暂缓、豁免披露有关信息应当登记以下事项：</w:t>
      </w:r>
    </w:p>
    <w:p w14:paraId="25B7E1F8"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sz w:val="21"/>
        </w:rPr>
        <w:lastRenderedPageBreak/>
        <w:t>（一）豁免披露的方式，包括豁免披露临时报告、豁免披露定期报告或者临时报告中的有关内容等；</w:t>
      </w:r>
    </w:p>
    <w:p w14:paraId="1A649AB9"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sz w:val="21"/>
        </w:rPr>
        <w:t>（二）豁免披露所涉文件类型，包括年度报告、半年度报告、季度报告、临时报告等；</w:t>
      </w:r>
    </w:p>
    <w:p w14:paraId="20906474"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sz w:val="21"/>
        </w:rPr>
        <w:t>（三）豁免披露的信息类型，包括临时报告中的重大交易、日常交易或者关联交易，年度报告中的客户、供应商名称等；</w:t>
      </w:r>
    </w:p>
    <w:p w14:paraId="5E6A8749"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sz w:val="21"/>
        </w:rPr>
        <w:t>（四）内部审核程序；</w:t>
      </w:r>
    </w:p>
    <w:p w14:paraId="37D4F0DC"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sz w:val="21"/>
        </w:rPr>
        <w:t>（五）公司认为有必要登记的其他事项。</w:t>
      </w:r>
    </w:p>
    <w:p w14:paraId="7F28ECA1" w14:textId="77777777" w:rsidR="00DE4FC7" w:rsidRDefault="00000000">
      <w:pPr>
        <w:widowControl/>
        <w:tabs>
          <w:tab w:val="left" w:pos="1540"/>
          <w:tab w:val="left" w:pos="1554"/>
          <w:tab w:val="left" w:pos="1610"/>
          <w:tab w:val="left" w:pos="1721"/>
        </w:tabs>
        <w:snapToGrid w:val="0"/>
        <w:spacing w:beforeLines="50" w:before="120" w:after="100" w:afterAutospacing="1" w:line="300" w:lineRule="auto"/>
        <w:ind w:left="1540"/>
        <w:jc w:val="both"/>
        <w:rPr>
          <w:sz w:val="21"/>
        </w:rPr>
      </w:pPr>
      <w:r>
        <w:rPr>
          <w:sz w:val="21"/>
        </w:rPr>
        <w:t>因涉及商业秘密暂缓或者豁免披露的，除及时登记前款规定的事项外，还应当登记相关信息是否已通过其他方式公开、认定属于商业秘密的主要理由、披露对公司或者他人可能产生的影响、内幕信息知情人名单等事项。</w:t>
      </w:r>
    </w:p>
    <w:p w14:paraId="600ACBFB"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sz w:val="21"/>
        </w:rPr>
        <w:t>在已</w:t>
      </w:r>
      <w:proofErr w:type="gramStart"/>
      <w:r>
        <w:rPr>
          <w:sz w:val="21"/>
        </w:rPr>
        <w:t>作出</w:t>
      </w:r>
      <w:proofErr w:type="gramEnd"/>
      <w:r>
        <w:rPr>
          <w:sz w:val="21"/>
        </w:rPr>
        <w:t>暂缓或豁免披露处理的情况下，申请人应密切关注、持续追踪并及时根据信息披露事务管理要求向董事会</w:t>
      </w:r>
      <w:r>
        <w:rPr>
          <w:rFonts w:hint="eastAsia"/>
          <w:sz w:val="21"/>
        </w:rPr>
        <w:t>秘书</w:t>
      </w:r>
      <w:r>
        <w:rPr>
          <w:sz w:val="21"/>
        </w:rPr>
        <w:t>通报事项进展。</w:t>
      </w:r>
    </w:p>
    <w:p w14:paraId="194040D1"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sz w:val="21"/>
        </w:rPr>
        <w:t>公司</w:t>
      </w:r>
      <w:r>
        <w:rPr>
          <w:rFonts w:hint="eastAsia"/>
          <w:sz w:val="21"/>
        </w:rPr>
        <w:t>和信息披露义务人</w:t>
      </w:r>
      <w:r>
        <w:rPr>
          <w:sz w:val="21"/>
        </w:rPr>
        <w:t>应当在年度报告、半年度报告、季度报告公告后十日内，将报告期内暂缓或者豁免披露的相关登记材料报送公司</w:t>
      </w:r>
      <w:proofErr w:type="gramStart"/>
      <w:r>
        <w:rPr>
          <w:sz w:val="21"/>
        </w:rPr>
        <w:t>注册地证监</w:t>
      </w:r>
      <w:proofErr w:type="gramEnd"/>
      <w:r>
        <w:rPr>
          <w:sz w:val="21"/>
        </w:rPr>
        <w:t>局和证券交易所。</w:t>
      </w:r>
    </w:p>
    <w:p w14:paraId="5103433A" w14:textId="77777777" w:rsidR="00DE4FC7" w:rsidRDefault="00000000">
      <w:pPr>
        <w:pStyle w:val="a9"/>
        <w:spacing w:beforeLines="100" w:afterLines="150" w:after="360"/>
        <w:rPr>
          <w:rFonts w:hint="eastAsia"/>
          <w:sz w:val="21"/>
          <w:szCs w:val="21"/>
        </w:rPr>
      </w:pPr>
      <w:r>
        <w:rPr>
          <w:rFonts w:hint="eastAsia"/>
          <w:sz w:val="21"/>
          <w:szCs w:val="21"/>
        </w:rPr>
        <w:t>第四章</w:t>
      </w:r>
      <w:r>
        <w:rPr>
          <w:sz w:val="21"/>
          <w:szCs w:val="21"/>
        </w:rPr>
        <w:t xml:space="preserve">  </w:t>
      </w:r>
      <w:r>
        <w:rPr>
          <w:rFonts w:hint="eastAsia"/>
          <w:sz w:val="21"/>
          <w:szCs w:val="21"/>
        </w:rPr>
        <w:t>责任追究与处理措施</w:t>
      </w:r>
    </w:p>
    <w:p w14:paraId="0536F5D8"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对因违反本制度规定，导致公司暂缓、豁免披露信息不符合有关规定，或导致公司未按照相关规定报送有关报告或者履行信息披露义务，或者报送的报告或者披露的信息有虚假记载、误导性陈述或者重大遗漏等情形的，公司有权对负有直接责任的相关人员追究责任。</w:t>
      </w:r>
    </w:p>
    <w:p w14:paraId="288216EB" w14:textId="77777777" w:rsidR="00DE4FC7" w:rsidRDefault="00000000">
      <w:pPr>
        <w:pStyle w:val="a9"/>
        <w:spacing w:beforeLines="100" w:afterLines="150" w:after="360"/>
        <w:rPr>
          <w:rFonts w:hint="eastAsia"/>
          <w:sz w:val="21"/>
          <w:szCs w:val="21"/>
        </w:rPr>
      </w:pPr>
      <w:r>
        <w:rPr>
          <w:rFonts w:hint="eastAsia"/>
          <w:sz w:val="21"/>
          <w:szCs w:val="21"/>
        </w:rPr>
        <w:t>第五章</w:t>
      </w:r>
      <w:r>
        <w:rPr>
          <w:sz w:val="21"/>
          <w:szCs w:val="21"/>
        </w:rPr>
        <w:t xml:space="preserve">  </w:t>
      </w:r>
      <w:r>
        <w:rPr>
          <w:rFonts w:hint="eastAsia"/>
          <w:sz w:val="21"/>
          <w:szCs w:val="21"/>
        </w:rPr>
        <w:t>附则</w:t>
      </w:r>
    </w:p>
    <w:p w14:paraId="21B5F8BC" w14:textId="5CB19260"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本制度未尽事宜，依照国家有关法律法规、规范性文件、证券交易所规定以及公司章程的有关规定执行。本管理制度与有关法律法规、规范性文件、证券交易所规定以及公司章程的有关规定不一致的，以有关法律法规、规范性文件、证券交易所规定以及公司章程的规定为准。</w:t>
      </w:r>
    </w:p>
    <w:p w14:paraId="5D140316" w14:textId="77777777" w:rsidR="00DE4FC7" w:rsidRDefault="00000000">
      <w:pPr>
        <w:widowControl/>
        <w:numPr>
          <w:ilvl w:val="0"/>
          <w:numId w:val="1"/>
        </w:numPr>
        <w:tabs>
          <w:tab w:val="clear" w:pos="1080"/>
          <w:tab w:val="left" w:pos="1540"/>
          <w:tab w:val="left" w:pos="1554"/>
          <w:tab w:val="left" w:pos="1610"/>
          <w:tab w:val="left" w:pos="1721"/>
        </w:tabs>
        <w:snapToGrid w:val="0"/>
        <w:spacing w:beforeLines="50" w:before="120" w:after="100" w:afterAutospacing="1" w:line="300" w:lineRule="auto"/>
        <w:ind w:left="1540" w:hanging="1540"/>
        <w:jc w:val="both"/>
        <w:rPr>
          <w:sz w:val="21"/>
        </w:rPr>
      </w:pPr>
      <w:r>
        <w:rPr>
          <w:rFonts w:hint="eastAsia"/>
          <w:sz w:val="21"/>
        </w:rPr>
        <w:t>本制度经公司董事会审议通过之日起生效，由董事会负责修订、解释。</w:t>
      </w:r>
    </w:p>
    <w:sectPr w:rsidR="00DE4FC7">
      <w:headerReference w:type="default" r:id="rId9"/>
      <w:footerReference w:type="even" r:id="rId10"/>
      <w:footerReference w:type="default" r:id="rId11"/>
      <w:headerReference w:type="first" r:id="rId12"/>
      <w:pgSz w:w="12240" w:h="15840"/>
      <w:pgMar w:top="1361" w:right="1797" w:bottom="1077" w:left="1797" w:header="289" w:footer="28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92377" w14:textId="77777777" w:rsidR="00BF2826" w:rsidRDefault="00BF2826">
      <w:pPr>
        <w:spacing w:line="240" w:lineRule="auto"/>
      </w:pPr>
      <w:r>
        <w:separator/>
      </w:r>
    </w:p>
  </w:endnote>
  <w:endnote w:type="continuationSeparator" w:id="0">
    <w:p w14:paraId="447965AB" w14:textId="77777777" w:rsidR="00BF2826" w:rsidRDefault="00BF28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希望宋体">
    <w:altName w:val="宋体"/>
    <w:charset w:val="86"/>
    <w:family w:val="roma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D4F4" w14:textId="77777777" w:rsidR="00DE4FC7" w:rsidRDefault="00000000">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1C0888B5" w14:textId="77777777" w:rsidR="00DE4FC7" w:rsidRDefault="00DE4FC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0C00D" w14:textId="77777777" w:rsidR="00DE4FC7" w:rsidRDefault="00000000">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5</w:t>
    </w:r>
    <w:r>
      <w:rPr>
        <w:rStyle w:val="ac"/>
      </w:rPr>
      <w:fldChar w:fldCharType="end"/>
    </w:r>
  </w:p>
  <w:p w14:paraId="3CA48CDD" w14:textId="77777777" w:rsidR="00DE4FC7" w:rsidRDefault="00DE4FC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9913B" w14:textId="77777777" w:rsidR="00BF2826" w:rsidRDefault="00BF2826">
      <w:pPr>
        <w:spacing w:line="240" w:lineRule="auto"/>
      </w:pPr>
      <w:r>
        <w:separator/>
      </w:r>
    </w:p>
  </w:footnote>
  <w:footnote w:type="continuationSeparator" w:id="0">
    <w:p w14:paraId="2233A1C3" w14:textId="77777777" w:rsidR="00BF2826" w:rsidRDefault="00BF28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48FB1" w14:textId="77777777" w:rsidR="00DE4FC7" w:rsidRDefault="00DE4FC7">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E17F" w14:textId="77777777" w:rsidR="00DE4FC7" w:rsidRDefault="00DE4FC7">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864BB"/>
    <w:multiLevelType w:val="multilevel"/>
    <w:tmpl w:val="207864BB"/>
    <w:lvl w:ilvl="0">
      <w:start w:val="1"/>
      <w:numFmt w:val="chineseCountingThousand"/>
      <w:lvlText w:val="第%1条"/>
      <w:lvlJc w:val="left"/>
      <w:pPr>
        <w:tabs>
          <w:tab w:val="left" w:pos="1080"/>
        </w:tabs>
        <w:ind w:left="420" w:hanging="420"/>
      </w:pPr>
      <w:rPr>
        <w:rFonts w:hint="eastAsia"/>
        <w:b/>
      </w:rPr>
    </w:lvl>
    <w:lvl w:ilvl="1">
      <w:start w:val="1"/>
      <w:numFmt w:val="japaneseCounting"/>
      <w:lvlText w:val="（%2）"/>
      <w:lvlJc w:val="left"/>
      <w:pPr>
        <w:tabs>
          <w:tab w:val="left" w:pos="2258"/>
        </w:tabs>
        <w:ind w:left="2258" w:hanging="840"/>
      </w:pPr>
      <w:rPr>
        <w:rFonts w:hint="eastAsia"/>
      </w:rPr>
    </w:lvl>
    <w:lvl w:ilvl="2">
      <w:start w:val="1"/>
      <w:numFmt w:val="decimal"/>
      <w:lvlText w:val="（%3）"/>
      <w:lvlJc w:val="left"/>
      <w:pPr>
        <w:tabs>
          <w:tab w:val="left" w:pos="1920"/>
        </w:tabs>
        <w:ind w:left="1920" w:hanging="720"/>
      </w:pPr>
      <w:rPr>
        <w:rFonts w:hint="eastAsia"/>
      </w:rPr>
    </w:lvl>
    <w:lvl w:ilvl="3">
      <w:start w:val="2"/>
      <w:numFmt w:val="decimal"/>
      <w:lvlText w:val="(%4)"/>
      <w:lvlJc w:val="left"/>
      <w:pPr>
        <w:tabs>
          <w:tab w:val="left" w:pos="2340"/>
        </w:tabs>
        <w:ind w:left="2340" w:hanging="720"/>
      </w:pPr>
      <w:rPr>
        <w:rFonts w:hint="default"/>
      </w:r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num w:numId="1" w16cid:durableId="19308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Q1YmE5NzEyMzlhN2Q1MGI2NDk3ZGI3Y2UzZjIxMzUifQ=="/>
  </w:docVars>
  <w:rsids>
    <w:rsidRoot w:val="00476648"/>
    <w:rsid w:val="00000B4C"/>
    <w:rsid w:val="00001DEF"/>
    <w:rsid w:val="00004007"/>
    <w:rsid w:val="000166C1"/>
    <w:rsid w:val="00017C73"/>
    <w:rsid w:val="00025A92"/>
    <w:rsid w:val="000266EF"/>
    <w:rsid w:val="00032749"/>
    <w:rsid w:val="00034CAF"/>
    <w:rsid w:val="000353E5"/>
    <w:rsid w:val="00043E81"/>
    <w:rsid w:val="0004678B"/>
    <w:rsid w:val="00054CFD"/>
    <w:rsid w:val="00077684"/>
    <w:rsid w:val="00087F1B"/>
    <w:rsid w:val="00091AEC"/>
    <w:rsid w:val="00092CFC"/>
    <w:rsid w:val="00095F41"/>
    <w:rsid w:val="000A767B"/>
    <w:rsid w:val="000B1966"/>
    <w:rsid w:val="000B1DDC"/>
    <w:rsid w:val="000B6B79"/>
    <w:rsid w:val="000E3B29"/>
    <w:rsid w:val="000F0CF2"/>
    <w:rsid w:val="000F1985"/>
    <w:rsid w:val="000F1AA2"/>
    <w:rsid w:val="000F6081"/>
    <w:rsid w:val="000F6FF0"/>
    <w:rsid w:val="00100640"/>
    <w:rsid w:val="001120BC"/>
    <w:rsid w:val="00116A39"/>
    <w:rsid w:val="00117856"/>
    <w:rsid w:val="0012751B"/>
    <w:rsid w:val="001405C9"/>
    <w:rsid w:val="001442D9"/>
    <w:rsid w:val="00147FDC"/>
    <w:rsid w:val="001530C3"/>
    <w:rsid w:val="00160845"/>
    <w:rsid w:val="001629DD"/>
    <w:rsid w:val="001642C2"/>
    <w:rsid w:val="0016742A"/>
    <w:rsid w:val="001709EB"/>
    <w:rsid w:val="001740D1"/>
    <w:rsid w:val="00183AC5"/>
    <w:rsid w:val="00186587"/>
    <w:rsid w:val="001874BB"/>
    <w:rsid w:val="0019001A"/>
    <w:rsid w:val="001924C1"/>
    <w:rsid w:val="00193716"/>
    <w:rsid w:val="00193970"/>
    <w:rsid w:val="001A4A49"/>
    <w:rsid w:val="001A4F0B"/>
    <w:rsid w:val="001A7F2C"/>
    <w:rsid w:val="001B7723"/>
    <w:rsid w:val="001D16F6"/>
    <w:rsid w:val="001F37D1"/>
    <w:rsid w:val="001F385A"/>
    <w:rsid w:val="001F7921"/>
    <w:rsid w:val="00202E23"/>
    <w:rsid w:val="00205B4D"/>
    <w:rsid w:val="00206448"/>
    <w:rsid w:val="00212E07"/>
    <w:rsid w:val="00213371"/>
    <w:rsid w:val="00223102"/>
    <w:rsid w:val="002346E1"/>
    <w:rsid w:val="00234C4E"/>
    <w:rsid w:val="002356B1"/>
    <w:rsid w:val="0024778D"/>
    <w:rsid w:val="00253F92"/>
    <w:rsid w:val="00256E51"/>
    <w:rsid w:val="002619DD"/>
    <w:rsid w:val="002624F9"/>
    <w:rsid w:val="00262A03"/>
    <w:rsid w:val="0026690A"/>
    <w:rsid w:val="00270962"/>
    <w:rsid w:val="0027130C"/>
    <w:rsid w:val="00274A0B"/>
    <w:rsid w:val="0027658B"/>
    <w:rsid w:val="00286744"/>
    <w:rsid w:val="00296FD3"/>
    <w:rsid w:val="002A6C70"/>
    <w:rsid w:val="002B1485"/>
    <w:rsid w:val="002B224D"/>
    <w:rsid w:val="002B4018"/>
    <w:rsid w:val="002B6BE1"/>
    <w:rsid w:val="002B76AB"/>
    <w:rsid w:val="002B76EB"/>
    <w:rsid w:val="002B771E"/>
    <w:rsid w:val="002C7BE2"/>
    <w:rsid w:val="002D1328"/>
    <w:rsid w:val="002E0685"/>
    <w:rsid w:val="002E0874"/>
    <w:rsid w:val="002E215A"/>
    <w:rsid w:val="002E2AAD"/>
    <w:rsid w:val="002E618D"/>
    <w:rsid w:val="002F34EE"/>
    <w:rsid w:val="00313BFB"/>
    <w:rsid w:val="00317367"/>
    <w:rsid w:val="00317A16"/>
    <w:rsid w:val="00317AD4"/>
    <w:rsid w:val="0032250B"/>
    <w:rsid w:val="00332BA8"/>
    <w:rsid w:val="00332DED"/>
    <w:rsid w:val="00335A7C"/>
    <w:rsid w:val="003410F8"/>
    <w:rsid w:val="00351588"/>
    <w:rsid w:val="00353A5F"/>
    <w:rsid w:val="00362557"/>
    <w:rsid w:val="00367049"/>
    <w:rsid w:val="00373839"/>
    <w:rsid w:val="00377ABB"/>
    <w:rsid w:val="003845FB"/>
    <w:rsid w:val="00384EE3"/>
    <w:rsid w:val="003B4219"/>
    <w:rsid w:val="003B747C"/>
    <w:rsid w:val="003C16B9"/>
    <w:rsid w:val="003D0B78"/>
    <w:rsid w:val="003D631D"/>
    <w:rsid w:val="003E635B"/>
    <w:rsid w:val="003E747D"/>
    <w:rsid w:val="003F5C78"/>
    <w:rsid w:val="00412A0A"/>
    <w:rsid w:val="00413511"/>
    <w:rsid w:val="00414817"/>
    <w:rsid w:val="004228C9"/>
    <w:rsid w:val="00424733"/>
    <w:rsid w:val="00425766"/>
    <w:rsid w:val="00443E4E"/>
    <w:rsid w:val="00456F3F"/>
    <w:rsid w:val="00467E9E"/>
    <w:rsid w:val="00473340"/>
    <w:rsid w:val="00476648"/>
    <w:rsid w:val="00483BBF"/>
    <w:rsid w:val="00486E61"/>
    <w:rsid w:val="00496E09"/>
    <w:rsid w:val="004B396C"/>
    <w:rsid w:val="004B7324"/>
    <w:rsid w:val="004C614A"/>
    <w:rsid w:val="004D0484"/>
    <w:rsid w:val="004E6191"/>
    <w:rsid w:val="004E65BD"/>
    <w:rsid w:val="004E69A2"/>
    <w:rsid w:val="004F2F3D"/>
    <w:rsid w:val="005009C7"/>
    <w:rsid w:val="00502A7F"/>
    <w:rsid w:val="00503A3C"/>
    <w:rsid w:val="005225E9"/>
    <w:rsid w:val="005270DC"/>
    <w:rsid w:val="00527D12"/>
    <w:rsid w:val="00535237"/>
    <w:rsid w:val="00536CB5"/>
    <w:rsid w:val="00537FA5"/>
    <w:rsid w:val="00540C5C"/>
    <w:rsid w:val="00541C5B"/>
    <w:rsid w:val="00544E52"/>
    <w:rsid w:val="005470A2"/>
    <w:rsid w:val="00554D0A"/>
    <w:rsid w:val="0056204B"/>
    <w:rsid w:val="00563436"/>
    <w:rsid w:val="00573FEE"/>
    <w:rsid w:val="00574F8F"/>
    <w:rsid w:val="005878E4"/>
    <w:rsid w:val="005A39FA"/>
    <w:rsid w:val="005A73AB"/>
    <w:rsid w:val="005A7D74"/>
    <w:rsid w:val="005B31D4"/>
    <w:rsid w:val="005C528A"/>
    <w:rsid w:val="005D6051"/>
    <w:rsid w:val="005F1DAE"/>
    <w:rsid w:val="005F6B33"/>
    <w:rsid w:val="00602AF1"/>
    <w:rsid w:val="0061076C"/>
    <w:rsid w:val="00617CD8"/>
    <w:rsid w:val="00620A85"/>
    <w:rsid w:val="00630017"/>
    <w:rsid w:val="00630164"/>
    <w:rsid w:val="00631CBF"/>
    <w:rsid w:val="00644C00"/>
    <w:rsid w:val="00652109"/>
    <w:rsid w:val="00666CF0"/>
    <w:rsid w:val="006673B5"/>
    <w:rsid w:val="006811FB"/>
    <w:rsid w:val="0068124F"/>
    <w:rsid w:val="00683009"/>
    <w:rsid w:val="00691E79"/>
    <w:rsid w:val="00696D6E"/>
    <w:rsid w:val="006B01DB"/>
    <w:rsid w:val="006B1BCA"/>
    <w:rsid w:val="006B5813"/>
    <w:rsid w:val="006B5C2E"/>
    <w:rsid w:val="006B6D13"/>
    <w:rsid w:val="006B7B30"/>
    <w:rsid w:val="006C1B02"/>
    <w:rsid w:val="006C72BA"/>
    <w:rsid w:val="006D081E"/>
    <w:rsid w:val="006D1F8B"/>
    <w:rsid w:val="006D255B"/>
    <w:rsid w:val="006D3FEA"/>
    <w:rsid w:val="006E38EF"/>
    <w:rsid w:val="006E4660"/>
    <w:rsid w:val="00713F2E"/>
    <w:rsid w:val="00716C9A"/>
    <w:rsid w:val="00716EE7"/>
    <w:rsid w:val="00725FFF"/>
    <w:rsid w:val="0072645C"/>
    <w:rsid w:val="007303FE"/>
    <w:rsid w:val="007334DF"/>
    <w:rsid w:val="0074187F"/>
    <w:rsid w:val="00742E30"/>
    <w:rsid w:val="00744008"/>
    <w:rsid w:val="007529F3"/>
    <w:rsid w:val="00764B81"/>
    <w:rsid w:val="00766579"/>
    <w:rsid w:val="007677F3"/>
    <w:rsid w:val="00770EDF"/>
    <w:rsid w:val="00770F27"/>
    <w:rsid w:val="00774345"/>
    <w:rsid w:val="007757B2"/>
    <w:rsid w:val="00775C9C"/>
    <w:rsid w:val="0077685F"/>
    <w:rsid w:val="007773AD"/>
    <w:rsid w:val="0078253E"/>
    <w:rsid w:val="00785B21"/>
    <w:rsid w:val="00787AD6"/>
    <w:rsid w:val="007A0EFA"/>
    <w:rsid w:val="007A2993"/>
    <w:rsid w:val="007A56B0"/>
    <w:rsid w:val="007C134F"/>
    <w:rsid w:val="007C4092"/>
    <w:rsid w:val="007D12E4"/>
    <w:rsid w:val="007D7D24"/>
    <w:rsid w:val="007E1678"/>
    <w:rsid w:val="007E19E1"/>
    <w:rsid w:val="007E412A"/>
    <w:rsid w:val="007F2333"/>
    <w:rsid w:val="007F49FE"/>
    <w:rsid w:val="007F616E"/>
    <w:rsid w:val="00800401"/>
    <w:rsid w:val="008024B9"/>
    <w:rsid w:val="008144B9"/>
    <w:rsid w:val="00821FF9"/>
    <w:rsid w:val="00832AC0"/>
    <w:rsid w:val="00840B58"/>
    <w:rsid w:val="00841D7B"/>
    <w:rsid w:val="00850FC1"/>
    <w:rsid w:val="00850FCC"/>
    <w:rsid w:val="00876D4E"/>
    <w:rsid w:val="008850A7"/>
    <w:rsid w:val="0088664C"/>
    <w:rsid w:val="008909A4"/>
    <w:rsid w:val="008A0B47"/>
    <w:rsid w:val="008A4146"/>
    <w:rsid w:val="008A6A6A"/>
    <w:rsid w:val="008B11B9"/>
    <w:rsid w:val="008B35BB"/>
    <w:rsid w:val="008B5483"/>
    <w:rsid w:val="008B6806"/>
    <w:rsid w:val="008C31BC"/>
    <w:rsid w:val="008C4259"/>
    <w:rsid w:val="008D570E"/>
    <w:rsid w:val="008E1F9A"/>
    <w:rsid w:val="008E21BC"/>
    <w:rsid w:val="008F5E32"/>
    <w:rsid w:val="008F725C"/>
    <w:rsid w:val="00902519"/>
    <w:rsid w:val="00905A48"/>
    <w:rsid w:val="00921C0F"/>
    <w:rsid w:val="00932FC8"/>
    <w:rsid w:val="009338B6"/>
    <w:rsid w:val="00935143"/>
    <w:rsid w:val="00937213"/>
    <w:rsid w:val="00937586"/>
    <w:rsid w:val="00937F70"/>
    <w:rsid w:val="009414CE"/>
    <w:rsid w:val="00945F58"/>
    <w:rsid w:val="009465F5"/>
    <w:rsid w:val="00950505"/>
    <w:rsid w:val="009538AF"/>
    <w:rsid w:val="00972869"/>
    <w:rsid w:val="0097580C"/>
    <w:rsid w:val="00975821"/>
    <w:rsid w:val="00977E67"/>
    <w:rsid w:val="00981BF9"/>
    <w:rsid w:val="00981E37"/>
    <w:rsid w:val="009935DF"/>
    <w:rsid w:val="00994D0C"/>
    <w:rsid w:val="009965BB"/>
    <w:rsid w:val="00997F48"/>
    <w:rsid w:val="009A1B5D"/>
    <w:rsid w:val="009A4AED"/>
    <w:rsid w:val="009B34B5"/>
    <w:rsid w:val="009B46F8"/>
    <w:rsid w:val="009D4070"/>
    <w:rsid w:val="009D4129"/>
    <w:rsid w:val="009D7491"/>
    <w:rsid w:val="009E5978"/>
    <w:rsid w:val="009E7ECF"/>
    <w:rsid w:val="009F6E15"/>
    <w:rsid w:val="00A12442"/>
    <w:rsid w:val="00A129E1"/>
    <w:rsid w:val="00A152D9"/>
    <w:rsid w:val="00A1533B"/>
    <w:rsid w:val="00A223EE"/>
    <w:rsid w:val="00A2627B"/>
    <w:rsid w:val="00A30805"/>
    <w:rsid w:val="00A3275F"/>
    <w:rsid w:val="00A347E1"/>
    <w:rsid w:val="00A372B3"/>
    <w:rsid w:val="00A552EE"/>
    <w:rsid w:val="00A5697E"/>
    <w:rsid w:val="00A572F1"/>
    <w:rsid w:val="00A711EB"/>
    <w:rsid w:val="00A742CB"/>
    <w:rsid w:val="00A85EEB"/>
    <w:rsid w:val="00AA02FE"/>
    <w:rsid w:val="00AB0449"/>
    <w:rsid w:val="00AB4A48"/>
    <w:rsid w:val="00AB728D"/>
    <w:rsid w:val="00AD1F59"/>
    <w:rsid w:val="00AD60FC"/>
    <w:rsid w:val="00AD7360"/>
    <w:rsid w:val="00AE11F7"/>
    <w:rsid w:val="00AF78B2"/>
    <w:rsid w:val="00B0474C"/>
    <w:rsid w:val="00B22F4A"/>
    <w:rsid w:val="00B331AC"/>
    <w:rsid w:val="00B359AF"/>
    <w:rsid w:val="00B57AAF"/>
    <w:rsid w:val="00B57F4E"/>
    <w:rsid w:val="00B70420"/>
    <w:rsid w:val="00B85E19"/>
    <w:rsid w:val="00B86960"/>
    <w:rsid w:val="00B92E3E"/>
    <w:rsid w:val="00B94EDB"/>
    <w:rsid w:val="00B95264"/>
    <w:rsid w:val="00BB1E03"/>
    <w:rsid w:val="00BB7079"/>
    <w:rsid w:val="00BC2ABC"/>
    <w:rsid w:val="00BD2173"/>
    <w:rsid w:val="00BD4E79"/>
    <w:rsid w:val="00BD7068"/>
    <w:rsid w:val="00BF2826"/>
    <w:rsid w:val="00BF71AD"/>
    <w:rsid w:val="00C049FD"/>
    <w:rsid w:val="00C04D68"/>
    <w:rsid w:val="00C079AD"/>
    <w:rsid w:val="00C1791D"/>
    <w:rsid w:val="00C333AA"/>
    <w:rsid w:val="00C405AD"/>
    <w:rsid w:val="00C42149"/>
    <w:rsid w:val="00C54EAE"/>
    <w:rsid w:val="00C61A3F"/>
    <w:rsid w:val="00C63013"/>
    <w:rsid w:val="00C646BC"/>
    <w:rsid w:val="00C8044A"/>
    <w:rsid w:val="00C84BF9"/>
    <w:rsid w:val="00CA46AE"/>
    <w:rsid w:val="00CB2DFA"/>
    <w:rsid w:val="00CC066F"/>
    <w:rsid w:val="00CC189F"/>
    <w:rsid w:val="00CC21CD"/>
    <w:rsid w:val="00CD033C"/>
    <w:rsid w:val="00CD4CA2"/>
    <w:rsid w:val="00CD52EA"/>
    <w:rsid w:val="00CF6FD6"/>
    <w:rsid w:val="00CF7129"/>
    <w:rsid w:val="00D06D9B"/>
    <w:rsid w:val="00D16668"/>
    <w:rsid w:val="00D25374"/>
    <w:rsid w:val="00D25763"/>
    <w:rsid w:val="00D30B46"/>
    <w:rsid w:val="00D313C2"/>
    <w:rsid w:val="00D46809"/>
    <w:rsid w:val="00D743A5"/>
    <w:rsid w:val="00D76975"/>
    <w:rsid w:val="00D92AF5"/>
    <w:rsid w:val="00DA15A3"/>
    <w:rsid w:val="00DA4C03"/>
    <w:rsid w:val="00DD11EA"/>
    <w:rsid w:val="00DD6E90"/>
    <w:rsid w:val="00DE4FC7"/>
    <w:rsid w:val="00DE62A9"/>
    <w:rsid w:val="00DF42F9"/>
    <w:rsid w:val="00E0229C"/>
    <w:rsid w:val="00E0382B"/>
    <w:rsid w:val="00E03D36"/>
    <w:rsid w:val="00E059D2"/>
    <w:rsid w:val="00E07164"/>
    <w:rsid w:val="00E11D82"/>
    <w:rsid w:val="00E12FD4"/>
    <w:rsid w:val="00E13AE5"/>
    <w:rsid w:val="00E157D6"/>
    <w:rsid w:val="00E1670B"/>
    <w:rsid w:val="00E23A62"/>
    <w:rsid w:val="00E259E5"/>
    <w:rsid w:val="00E268DD"/>
    <w:rsid w:val="00E31935"/>
    <w:rsid w:val="00E40C8A"/>
    <w:rsid w:val="00E475F0"/>
    <w:rsid w:val="00E520AF"/>
    <w:rsid w:val="00E55FEA"/>
    <w:rsid w:val="00E6292E"/>
    <w:rsid w:val="00E63E34"/>
    <w:rsid w:val="00E66293"/>
    <w:rsid w:val="00E71574"/>
    <w:rsid w:val="00E74436"/>
    <w:rsid w:val="00E80AF0"/>
    <w:rsid w:val="00E80D05"/>
    <w:rsid w:val="00E81B0B"/>
    <w:rsid w:val="00E8581B"/>
    <w:rsid w:val="00E9110E"/>
    <w:rsid w:val="00EA6A66"/>
    <w:rsid w:val="00EA7B1D"/>
    <w:rsid w:val="00EC13AE"/>
    <w:rsid w:val="00EC3069"/>
    <w:rsid w:val="00ED41FE"/>
    <w:rsid w:val="00ED6E0A"/>
    <w:rsid w:val="00ED7794"/>
    <w:rsid w:val="00EE22CE"/>
    <w:rsid w:val="00EE2F61"/>
    <w:rsid w:val="00EE35EF"/>
    <w:rsid w:val="00EE3C89"/>
    <w:rsid w:val="00EE4FCC"/>
    <w:rsid w:val="00EE5DC9"/>
    <w:rsid w:val="00EF5F85"/>
    <w:rsid w:val="00F01AE8"/>
    <w:rsid w:val="00F02176"/>
    <w:rsid w:val="00F177C9"/>
    <w:rsid w:val="00F27E56"/>
    <w:rsid w:val="00F45355"/>
    <w:rsid w:val="00F4762A"/>
    <w:rsid w:val="00F51AFC"/>
    <w:rsid w:val="00F51D05"/>
    <w:rsid w:val="00F53192"/>
    <w:rsid w:val="00F556AB"/>
    <w:rsid w:val="00F55CA5"/>
    <w:rsid w:val="00F561DC"/>
    <w:rsid w:val="00F63F2E"/>
    <w:rsid w:val="00F64B41"/>
    <w:rsid w:val="00F6556D"/>
    <w:rsid w:val="00F65A79"/>
    <w:rsid w:val="00F66ECF"/>
    <w:rsid w:val="00F67094"/>
    <w:rsid w:val="00F718E5"/>
    <w:rsid w:val="00F72D02"/>
    <w:rsid w:val="00F77046"/>
    <w:rsid w:val="00F82F71"/>
    <w:rsid w:val="00F850AD"/>
    <w:rsid w:val="00F86D5D"/>
    <w:rsid w:val="00FA587F"/>
    <w:rsid w:val="00FB0127"/>
    <w:rsid w:val="00FB455F"/>
    <w:rsid w:val="00FB555D"/>
    <w:rsid w:val="00FC5EEE"/>
    <w:rsid w:val="00FD0372"/>
    <w:rsid w:val="00FD3B3C"/>
    <w:rsid w:val="00FE6F98"/>
    <w:rsid w:val="12AD1518"/>
    <w:rsid w:val="1FCF1E33"/>
    <w:rsid w:val="25243903"/>
    <w:rsid w:val="3AC52A27"/>
    <w:rsid w:val="436B7285"/>
    <w:rsid w:val="47E71B04"/>
    <w:rsid w:val="61EF4230"/>
    <w:rsid w:val="6987323B"/>
    <w:rsid w:val="70BC6081"/>
    <w:rsid w:val="74382806"/>
    <w:rsid w:val="750C4D11"/>
    <w:rsid w:val="750F4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4422E"/>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widowControl/>
      <w:snapToGrid w:val="0"/>
      <w:spacing w:after="360" w:line="240" w:lineRule="auto"/>
      <w:jc w:val="center"/>
      <w:outlineLvl w:val="0"/>
    </w:pPr>
    <w:rPr>
      <w:rFonts w:eastAsia="楷体"/>
      <w:b/>
      <w:spacing w:val="20"/>
      <w:sz w:val="28"/>
    </w:rPr>
  </w:style>
  <w:style w:type="paragraph" w:styleId="2">
    <w:name w:val="heading 2"/>
    <w:basedOn w:val="a"/>
    <w:next w:val="a"/>
    <w:qFormat/>
    <w:pPr>
      <w:keepNext/>
      <w:widowControl/>
      <w:snapToGrid w:val="0"/>
      <w:spacing w:after="360" w:line="240" w:lineRule="auto"/>
      <w:jc w:val="both"/>
      <w:outlineLvl w:val="1"/>
    </w:pPr>
    <w:rPr>
      <w:rFonts w:eastAsia="楷体"/>
      <w:b/>
      <w:spacing w:val="2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semiHidden/>
    <w:qFormat/>
  </w:style>
  <w:style w:type="paragraph" w:styleId="a5">
    <w:name w:val="Body Text Indent"/>
    <w:basedOn w:val="a"/>
    <w:qFormat/>
    <w:pPr>
      <w:spacing w:before="60" w:line="264" w:lineRule="auto"/>
      <w:ind w:firstLine="600"/>
      <w:jc w:val="both"/>
    </w:pPr>
    <w:rPr>
      <w:rFonts w:ascii="希望宋体" w:eastAsia="希望宋体"/>
      <w:sz w:val="26"/>
    </w:rPr>
  </w:style>
  <w:style w:type="paragraph" w:styleId="a6">
    <w:name w:val="Balloon Text"/>
    <w:basedOn w:val="a"/>
    <w:semiHidden/>
    <w:qFormat/>
    <w:rPr>
      <w:sz w:val="18"/>
      <w:szCs w:val="18"/>
    </w:rPr>
  </w:style>
  <w:style w:type="paragraph" w:styleId="a7">
    <w:name w:val="footer"/>
    <w:basedOn w:val="a"/>
    <w:qFormat/>
    <w:pPr>
      <w:tabs>
        <w:tab w:val="center" w:pos="4320"/>
        <w:tab w:val="right" w:pos="8640"/>
      </w:tabs>
      <w:spacing w:line="240" w:lineRule="atLeast"/>
    </w:pPr>
    <w:rPr>
      <w:sz w:val="18"/>
    </w:rPr>
  </w:style>
  <w:style w:type="paragraph" w:styleId="a8">
    <w:name w:val="header"/>
    <w:basedOn w:val="a"/>
    <w:qFormat/>
    <w:pPr>
      <w:pBdr>
        <w:bottom w:val="single" w:sz="6" w:space="1" w:color="auto"/>
      </w:pBdr>
      <w:tabs>
        <w:tab w:val="center" w:pos="4320"/>
        <w:tab w:val="right" w:pos="8640"/>
      </w:tabs>
      <w:spacing w:line="240" w:lineRule="atLeast"/>
      <w:jc w:val="center"/>
    </w:pPr>
    <w:rPr>
      <w:sz w:val="18"/>
    </w:rPr>
  </w:style>
  <w:style w:type="paragraph" w:styleId="a9">
    <w:name w:val="Subtitle"/>
    <w:basedOn w:val="a"/>
    <w:next w:val="a"/>
    <w:link w:val="aa"/>
    <w:qFormat/>
    <w:pPr>
      <w:spacing w:before="240" w:after="60" w:line="312" w:lineRule="atLeast"/>
      <w:jc w:val="center"/>
      <w:outlineLvl w:val="1"/>
    </w:pPr>
    <w:rPr>
      <w:rFonts w:ascii="等线 Light" w:hAnsi="等线 Light"/>
      <w:b/>
      <w:bCs/>
      <w:kern w:val="28"/>
      <w:sz w:val="32"/>
      <w:szCs w:val="32"/>
    </w:rPr>
  </w:style>
  <w:style w:type="paragraph" w:styleId="ab">
    <w:name w:val="annotation subject"/>
    <w:basedOn w:val="a4"/>
    <w:next w:val="a4"/>
    <w:semiHidden/>
    <w:qFormat/>
    <w:rPr>
      <w:b/>
      <w:bCs/>
    </w:rPr>
  </w:style>
  <w:style w:type="character" w:styleId="ac">
    <w:name w:val="page number"/>
    <w:basedOn w:val="a0"/>
    <w:qFormat/>
  </w:style>
  <w:style w:type="character" w:styleId="ad">
    <w:name w:val="annotation reference"/>
    <w:semiHidden/>
    <w:qFormat/>
    <w:rPr>
      <w:sz w:val="21"/>
      <w:szCs w:val="21"/>
    </w:rPr>
  </w:style>
  <w:style w:type="character" w:customStyle="1" w:styleId="da">
    <w:name w:val="da"/>
    <w:basedOn w:val="a0"/>
    <w:qFormat/>
  </w:style>
  <w:style w:type="paragraph" w:customStyle="1" w:styleId="Char1">
    <w:name w:val="Char1"/>
    <w:basedOn w:val="a"/>
    <w:qFormat/>
    <w:pPr>
      <w:widowControl/>
      <w:adjustRightInd/>
      <w:spacing w:after="160" w:line="240" w:lineRule="exact"/>
      <w:textAlignment w:val="auto"/>
    </w:pPr>
    <w:rPr>
      <w:rFonts w:ascii="Verdana" w:eastAsia="Times New Roman" w:hAnsi="Verdana"/>
      <w:sz w:val="20"/>
      <w:lang w:eastAsia="en-US"/>
    </w:rPr>
  </w:style>
  <w:style w:type="character" w:customStyle="1" w:styleId="aa">
    <w:name w:val="副标题 字符"/>
    <w:link w:val="a9"/>
    <w:qFormat/>
    <w:rPr>
      <w:rFonts w:ascii="等线 Light" w:hAnsi="等线 Light" w:cs="Times New Roman"/>
      <w:b/>
      <w:bCs/>
      <w:kern w:val="28"/>
      <w:sz w:val="32"/>
      <w:szCs w:val="32"/>
    </w:rPr>
  </w:style>
  <w:style w:type="paragraph" w:customStyle="1" w:styleId="-11">
    <w:name w:val="彩色底纹 - 着色 11"/>
    <w:hidden/>
    <w:uiPriority w:val="99"/>
    <w:semiHidden/>
    <w:qFormat/>
    <w:rPr>
      <w:sz w:val="24"/>
    </w:rPr>
  </w:style>
  <w:style w:type="paragraph" w:customStyle="1" w:styleId="10">
    <w:name w:val="修订1"/>
    <w:hidden/>
    <w:uiPriority w:val="99"/>
    <w:semiHidden/>
    <w:qFormat/>
    <w:rPr>
      <w:sz w:val="24"/>
    </w:rPr>
  </w:style>
  <w:style w:type="paragraph" w:customStyle="1" w:styleId="20">
    <w:name w:val="修订2"/>
    <w:hidden/>
    <w:uiPriority w:val="99"/>
    <w:unhideWhenUsed/>
    <w:qFormat/>
    <w:rPr>
      <w:sz w:val="24"/>
    </w:rPr>
  </w:style>
  <w:style w:type="paragraph" w:styleId="ae">
    <w:name w:val="List Paragraph"/>
    <w:basedOn w:val="a"/>
    <w:uiPriority w:val="99"/>
    <w:unhideWhenUsed/>
    <w:qFormat/>
    <w:pPr>
      <w:ind w:firstLineChars="200" w:firstLine="420"/>
    </w:pPr>
  </w:style>
  <w:style w:type="paragraph" w:customStyle="1" w:styleId="3">
    <w:name w:val="修订3"/>
    <w:hidden/>
    <w:uiPriority w:val="99"/>
    <w:semiHidden/>
    <w:qFormat/>
    <w:rPr>
      <w:sz w:val="24"/>
    </w:rPr>
  </w:style>
  <w:style w:type="paragraph" w:customStyle="1" w:styleId="4">
    <w:name w:val="修订4"/>
    <w:hidden/>
    <w:uiPriority w:val="99"/>
    <w:unhideWhenUsed/>
    <w:qFormat/>
    <w:rPr>
      <w:sz w:val="24"/>
    </w:rPr>
  </w:style>
  <w:style w:type="paragraph" w:customStyle="1" w:styleId="5">
    <w:name w:val="修订5"/>
    <w:hidden/>
    <w:uiPriority w:val="99"/>
    <w:unhideWhenUsed/>
    <w:qFormat/>
    <w:rPr>
      <w:sz w:val="24"/>
    </w:rPr>
  </w:style>
  <w:style w:type="paragraph" w:styleId="af">
    <w:name w:val="Revision"/>
    <w:hidden/>
    <w:uiPriority w:val="99"/>
    <w:unhideWhenUsed/>
    <w:rsid w:val="0080040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c591acca-f8ae-45ba-b507-a84eff87ac36</errorID>
      <errorWord>，</errorWord>
      <group>L1_Word</group>
      <groupName>字词问题</groupName>
      <ability>L2_Typo</ability>
      <abilityName>字词错误</abilityName>
      <candidateList>
        <item>，在</item>
      </candidateList>
      <explain/>
      <paraID>62559A0E</paraID>
      <start>27</start>
      <end>30</end>
      <status>modified</status>
      <modifiedWord>，在</modifiedWord>
      <trackRevisions>true</trackRevisions>
    </reviewItem>
    <reviewItem>
      <errorID>48da3ec0-e3af-4487-91b2-db1fa4d3bfa7</errorID>
      <errorWord>法律、法规</errorWord>
      <group>L1_Word</group>
      <groupName>字词问题</groupName>
      <ability>L2_Typo</ability>
      <abilityName>字词错误</abilityName>
      <candidateList>
        <item>法律法规</item>
      </candidateList>
      <explain/>
      <paraID>20B856D3</paraID>
      <start>14</start>
      <end>23</end>
      <status>modified</status>
      <modifiedWord>法律法规</modifiedWord>
      <trackRevisions>true</trackRevisions>
    </reviewItem>
    <reviewItem>
      <errorID>74f1a687-b6b5-4d81-8ad2-f7fa97db1389</errorID>
      <errorWord>法律、法规</errorWord>
      <group>L1_Word</group>
      <groupName>字词问题</groupName>
      <ability>L2_Typo</ability>
      <abilityName>字词错误</abilityName>
      <candidateList>
        <item>法律法规</item>
      </candidateList>
      <explain/>
      <paraID>20B856D3</paraID>
      <start>59</start>
      <end>68</end>
      <status>modified</status>
      <modifiedWord>法律法规</modifiedWord>
      <trackRevisions>true</trackRevisions>
    </reviewItem>
    <reviewItem>
      <errorID>92b3af5a-7fcc-4778-854e-34ed79667559</errorID>
      <errorWord>法律、法规</errorWord>
      <group>L1_Word</group>
      <groupName>字词问题</groupName>
      <ability>L2_Typo</ability>
      <abilityName>字词错误</abilityName>
      <candidateList>
        <item>法律法规</item>
      </candidateList>
      <explain/>
      <paraID>20B856D3</paraID>
      <start>101</start>
      <end>110</end>
      <status>modified</status>
      <modifiedWord>法律法规</modifiedWord>
      <trackRevisions>true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418DE-BF3C-45CC-AD41-213D3A3D3C67}">
  <ds:schemaRefs>
    <ds:schemaRef ds:uri="http://schemas.wps.cn/vas-ai-hub/contract-review"/>
  </ds:schemaRefs>
</ds:datastoreItem>
</file>

<file path=customXml/itemProps2.xml><?xml version="1.0" encoding="utf-8"?>
<ds:datastoreItem xmlns:ds="http://schemas.openxmlformats.org/officeDocument/2006/customXml" ds:itemID="{C8DDD3A3-7A9A-4713-BCD0-390262B7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328</Words>
  <Characters>1871</Characters>
  <Application>Microsoft Office Word</Application>
  <DocSecurity>0</DocSecurity>
  <Lines>15</Lines>
  <Paragraphs>4</Paragraphs>
  <ScaleCrop>false</ScaleCrop>
  <Company>微软中国</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dc:title>
  <dc:creator>微软用户</dc:creator>
  <cp:lastModifiedBy>林德生</cp:lastModifiedBy>
  <cp:revision>15</cp:revision>
  <cp:lastPrinted>2024-12-24T10:10:00Z</cp:lastPrinted>
  <dcterms:created xsi:type="dcterms:W3CDTF">2025-08-07T03:51:00Z</dcterms:created>
  <dcterms:modified xsi:type="dcterms:W3CDTF">2026-03-27T09:42:00Z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0540598A4849487C89350A3B085ABE73_13</vt:lpwstr>
  </property>
  <property fmtid="{D5CDD505-2E9C-101B-9397-08002B2CF9AE}" pid="4" name="KSOTemplateDocerSaveRecord">
    <vt:lpwstr>eyJoZGlkIjoiMWM1YTQ4YTJjM2Q3ZDlhOWU3ZmExZDUyMGIwNDIxZDUiLCJ1c2VySWQiOiI3NjI5MjE4MzUifQ==</vt:lpwstr>
  </property>
</Properties>
</file>