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8F22" w14:textId="77777777" w:rsidR="00DD1477" w:rsidRDefault="00DD1477" w:rsidP="00DD1477">
      <w:pPr>
        <w:pStyle w:val="Default"/>
        <w:ind w:firstLine="420"/>
        <w:jc w:val="center"/>
        <w:rPr>
          <w:rFonts w:ascii="Times New Roman" w:hAnsi="Times New Roman" w:cs="Times New Roman"/>
          <w:b/>
          <w:sz w:val="32"/>
          <w:szCs w:val="32"/>
        </w:rPr>
      </w:pPr>
      <w:bookmarkStart w:id="0" w:name="_Toc383085194"/>
      <w:bookmarkStart w:id="1" w:name="_Toc383172878"/>
      <w:bookmarkStart w:id="2" w:name="_Toc383176465"/>
      <w:bookmarkStart w:id="3" w:name="_Toc383086122"/>
      <w:bookmarkStart w:id="4" w:name="_Toc383092287"/>
      <w:bookmarkStart w:id="5" w:name="_Toc414467243"/>
      <w:bookmarkStart w:id="6" w:name="_Toc383085090"/>
      <w:bookmarkStart w:id="7" w:name="_Toc383100564"/>
      <w:r>
        <w:rPr>
          <w:rFonts w:ascii="Times New Roman" w:hAnsi="Times New Roman" w:cs="Times New Roman" w:hint="eastAsia"/>
          <w:b/>
          <w:sz w:val="32"/>
          <w:szCs w:val="32"/>
        </w:rPr>
        <w:t>东江环保股份有限公司</w:t>
      </w:r>
    </w:p>
    <w:p w14:paraId="5773EF3B" w14:textId="77777777" w:rsidR="00DD1477" w:rsidRDefault="00DD1477" w:rsidP="00DD1477">
      <w:pPr>
        <w:pStyle w:val="Default"/>
        <w:ind w:firstLine="420"/>
        <w:jc w:val="center"/>
        <w:rPr>
          <w:rFonts w:ascii="Times New Roman" w:hAnsi="Times New Roman" w:cs="Times New Roman"/>
          <w:b/>
          <w:sz w:val="32"/>
          <w:szCs w:val="32"/>
        </w:rPr>
      </w:pPr>
      <w:r>
        <w:rPr>
          <w:rFonts w:ascii="Times New Roman" w:hAnsi="Times New Roman" w:cs="Times New Roman" w:hint="eastAsia"/>
          <w:b/>
          <w:sz w:val="32"/>
          <w:szCs w:val="32"/>
        </w:rPr>
        <w:t>2025</w:t>
      </w:r>
      <w:r>
        <w:rPr>
          <w:rFonts w:ascii="Times New Roman" w:hAnsi="Times New Roman" w:cs="Times New Roman" w:hint="eastAsia"/>
          <w:b/>
          <w:sz w:val="32"/>
          <w:szCs w:val="32"/>
        </w:rPr>
        <w:t>年度财务决算报告</w:t>
      </w:r>
    </w:p>
    <w:p w14:paraId="1331EBD6" w14:textId="79A56C74"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一、202</w:t>
      </w:r>
      <w:r w:rsidR="00A966F6">
        <w:rPr>
          <w:rFonts w:hAnsi="宋体" w:cs="Times New Roman" w:hint="eastAsia"/>
        </w:rPr>
        <w:t>5</w:t>
      </w:r>
      <w:r>
        <w:rPr>
          <w:rFonts w:hAnsi="宋体" w:cs="Times New Roman"/>
        </w:rPr>
        <w:t>年度公司财务报表的审计情况</w:t>
      </w:r>
    </w:p>
    <w:p w14:paraId="7D312E2E" w14:textId="3419D174"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1、公司202</w:t>
      </w:r>
      <w:r w:rsidR="00684540">
        <w:rPr>
          <w:rFonts w:hAnsi="宋体" w:cs="Times New Roman" w:hint="eastAsia"/>
        </w:rPr>
        <w:t>5</w:t>
      </w:r>
      <w:r>
        <w:rPr>
          <w:rFonts w:hAnsi="宋体" w:cs="Times New Roman"/>
        </w:rPr>
        <w:t>年度财务报表已经</w:t>
      </w:r>
      <w:r w:rsidR="00A318BE">
        <w:rPr>
          <w:rFonts w:hAnsi="宋体" w:cs="Times New Roman" w:hint="eastAsia"/>
        </w:rPr>
        <w:t>大信</w:t>
      </w:r>
      <w:r>
        <w:rPr>
          <w:rFonts w:hAnsi="宋体" w:cs="Times New Roman" w:hint="eastAsia"/>
        </w:rPr>
        <w:t>会计师事务所（特殊普通合伙）</w:t>
      </w:r>
      <w:r>
        <w:rPr>
          <w:rFonts w:hAnsi="宋体" w:cs="Times New Roman"/>
        </w:rPr>
        <w:t>审计，出具了标准无保留意见的审计报告。审计意见为：</w:t>
      </w:r>
      <w:r>
        <w:rPr>
          <w:rFonts w:hAnsi="宋体" w:cs="Times New Roman" w:hint="eastAsia"/>
        </w:rPr>
        <w:t>“</w:t>
      </w:r>
      <w:r>
        <w:rPr>
          <w:rFonts w:hAnsi="宋体" w:cs="Times New Roman"/>
        </w:rPr>
        <w:t>东江环保股份有限公司的财务报表在所有重大方面按照企业会计准则的规定编制，公允反映了东江环保股份有限公司202</w:t>
      </w:r>
      <w:r w:rsidR="00A966F6">
        <w:rPr>
          <w:rFonts w:hAnsi="宋体" w:cs="Times New Roman" w:hint="eastAsia"/>
        </w:rPr>
        <w:t>5</w:t>
      </w:r>
      <w:r>
        <w:rPr>
          <w:rFonts w:hAnsi="宋体" w:cs="Times New Roman"/>
        </w:rPr>
        <w:t>年12月31日的合并及母公司财务状况以及202</w:t>
      </w:r>
      <w:r w:rsidR="00A966F6">
        <w:rPr>
          <w:rFonts w:hAnsi="宋体" w:cs="Times New Roman" w:hint="eastAsia"/>
        </w:rPr>
        <w:t>5</w:t>
      </w:r>
      <w:r>
        <w:rPr>
          <w:rFonts w:hAnsi="宋体" w:cs="Times New Roman"/>
        </w:rPr>
        <w:t>年度合并及母公司的经营成果和现金流量。</w:t>
      </w:r>
      <w:r>
        <w:rPr>
          <w:rFonts w:hAnsi="宋体" w:cs="Times New Roman" w:hint="eastAsia"/>
        </w:rPr>
        <w:t>”</w:t>
      </w:r>
    </w:p>
    <w:p w14:paraId="62C598D0" w14:textId="77777777"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2、主要财务数据和指标：</w:t>
      </w:r>
      <w:bookmarkEnd w:id="0"/>
      <w:bookmarkEnd w:id="1"/>
      <w:bookmarkEnd w:id="2"/>
      <w:bookmarkEnd w:id="3"/>
      <w:bookmarkEnd w:id="4"/>
      <w:bookmarkEnd w:id="5"/>
      <w:bookmarkEnd w:id="6"/>
      <w:bookmarkEnd w:id="7"/>
      <w:r>
        <w:rPr>
          <w:rFonts w:hAnsi="宋体" w:cs="Times New Roman"/>
        </w:rPr>
        <w:t xml:space="preserve"> </w:t>
      </w:r>
    </w:p>
    <w:p w14:paraId="51845860" w14:textId="77777777" w:rsidR="003B35DC" w:rsidRDefault="00877547" w:rsidP="00783179">
      <w:pPr>
        <w:pStyle w:val="Default"/>
        <w:spacing w:beforeLines="50" w:before="156" w:afterLines="50" w:after="156" w:line="420" w:lineRule="exact"/>
        <w:ind w:firstLine="420"/>
        <w:jc w:val="right"/>
        <w:rPr>
          <w:rFonts w:hAnsi="宋体" w:cs="Times New Roman" w:hint="eastAsia"/>
        </w:rPr>
      </w:pPr>
      <w:r>
        <w:rPr>
          <w:rFonts w:hAnsi="宋体" w:cs="Times New Roman"/>
        </w:rPr>
        <w:t>单位：人民币万元</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1807"/>
        <w:gridCol w:w="1819"/>
        <w:gridCol w:w="9"/>
        <w:gridCol w:w="1276"/>
        <w:gridCol w:w="142"/>
        <w:gridCol w:w="1276"/>
      </w:tblGrid>
      <w:tr w:rsidR="00D04333" w14:paraId="2351EEE9" w14:textId="77777777" w:rsidTr="008E33E0">
        <w:trPr>
          <w:trHeight w:val="255"/>
          <w:jc w:val="center"/>
        </w:trPr>
        <w:tc>
          <w:tcPr>
            <w:tcW w:w="1666" w:type="pct"/>
            <w:shd w:val="clear" w:color="000000" w:fill="D8D8D8"/>
            <w:vAlign w:val="center"/>
          </w:tcPr>
          <w:p w14:paraId="5D3F3B88" w14:textId="77777777" w:rsidR="00D04333" w:rsidRDefault="00D04333" w:rsidP="00D04333">
            <w:pPr>
              <w:widowControl/>
              <w:rPr>
                <w:rFonts w:ascii="宋体" w:hAnsi="宋体" w:hint="eastAsia"/>
                <w:color w:val="000000"/>
                <w:kern w:val="0"/>
                <w:szCs w:val="21"/>
              </w:rPr>
            </w:pPr>
            <w:r>
              <w:rPr>
                <w:rFonts w:ascii="宋体" w:hAnsi="宋体"/>
                <w:color w:val="000000"/>
                <w:kern w:val="0"/>
                <w:szCs w:val="21"/>
              </w:rPr>
              <w:t>项目</w:t>
            </w:r>
          </w:p>
        </w:tc>
        <w:tc>
          <w:tcPr>
            <w:tcW w:w="952" w:type="pct"/>
            <w:shd w:val="clear" w:color="000000" w:fill="D8D8D8"/>
            <w:vAlign w:val="center"/>
          </w:tcPr>
          <w:p w14:paraId="5DDBB662" w14:textId="3C2A8DB7" w:rsidR="00D04333" w:rsidRDefault="00D04333" w:rsidP="00D04333">
            <w:pPr>
              <w:widowControl/>
              <w:rPr>
                <w:rFonts w:ascii="宋体" w:hAnsi="宋体" w:hint="eastAsia"/>
                <w:color w:val="000000"/>
                <w:kern w:val="0"/>
                <w:szCs w:val="21"/>
              </w:rPr>
            </w:pPr>
            <w:r>
              <w:rPr>
                <w:rFonts w:ascii="宋体" w:hAnsi="宋体"/>
                <w:color w:val="000000"/>
                <w:kern w:val="0"/>
                <w:szCs w:val="21"/>
              </w:rPr>
              <w:t>202</w:t>
            </w:r>
            <w:r w:rsidR="00A966F6">
              <w:rPr>
                <w:rFonts w:ascii="宋体" w:hAnsi="宋体" w:hint="eastAsia"/>
                <w:color w:val="000000"/>
                <w:kern w:val="0"/>
                <w:szCs w:val="21"/>
              </w:rPr>
              <w:t>5</w:t>
            </w:r>
            <w:r>
              <w:rPr>
                <w:rFonts w:ascii="宋体" w:hAnsi="宋体"/>
                <w:color w:val="000000"/>
                <w:kern w:val="0"/>
                <w:szCs w:val="21"/>
              </w:rPr>
              <w:t>年1-12月</w:t>
            </w:r>
          </w:p>
        </w:tc>
        <w:tc>
          <w:tcPr>
            <w:tcW w:w="958" w:type="pct"/>
            <w:shd w:val="clear" w:color="000000" w:fill="D8D8D8"/>
            <w:vAlign w:val="center"/>
          </w:tcPr>
          <w:p w14:paraId="50F0AF9B" w14:textId="6F06A9F9" w:rsidR="00D04333" w:rsidRDefault="00D04333" w:rsidP="00D04333">
            <w:pPr>
              <w:widowControl/>
              <w:rPr>
                <w:rFonts w:ascii="宋体" w:hAnsi="宋体" w:hint="eastAsia"/>
                <w:color w:val="000000"/>
                <w:kern w:val="0"/>
                <w:szCs w:val="21"/>
              </w:rPr>
            </w:pPr>
            <w:r>
              <w:rPr>
                <w:rFonts w:ascii="宋体" w:hAnsi="宋体"/>
                <w:color w:val="000000"/>
                <w:kern w:val="0"/>
                <w:szCs w:val="21"/>
              </w:rPr>
              <w:t>202</w:t>
            </w:r>
            <w:r w:rsidR="00A966F6">
              <w:rPr>
                <w:rFonts w:ascii="宋体" w:hAnsi="宋体" w:hint="eastAsia"/>
                <w:color w:val="000000"/>
                <w:kern w:val="0"/>
                <w:szCs w:val="21"/>
              </w:rPr>
              <w:t>4</w:t>
            </w:r>
            <w:r>
              <w:rPr>
                <w:rFonts w:ascii="宋体" w:hAnsi="宋体"/>
                <w:color w:val="000000"/>
                <w:kern w:val="0"/>
                <w:szCs w:val="21"/>
              </w:rPr>
              <w:t>年1-12月</w:t>
            </w:r>
          </w:p>
        </w:tc>
        <w:tc>
          <w:tcPr>
            <w:tcW w:w="677" w:type="pct"/>
            <w:gridSpan w:val="2"/>
            <w:shd w:val="clear" w:color="000000" w:fill="D8D8D8"/>
            <w:vAlign w:val="center"/>
          </w:tcPr>
          <w:p w14:paraId="3C8DBDA0" w14:textId="77777777" w:rsidR="00D04333" w:rsidRDefault="00D04333" w:rsidP="00D04333">
            <w:pPr>
              <w:widowControl/>
              <w:rPr>
                <w:rFonts w:ascii="宋体" w:hAnsi="宋体" w:hint="eastAsia"/>
                <w:color w:val="000000"/>
                <w:kern w:val="0"/>
                <w:szCs w:val="21"/>
              </w:rPr>
            </w:pPr>
            <w:r>
              <w:rPr>
                <w:rFonts w:ascii="宋体" w:hAnsi="宋体"/>
                <w:color w:val="000000"/>
                <w:kern w:val="0"/>
                <w:szCs w:val="21"/>
              </w:rPr>
              <w:t>增减金额</w:t>
            </w:r>
          </w:p>
        </w:tc>
        <w:tc>
          <w:tcPr>
            <w:tcW w:w="747" w:type="pct"/>
            <w:gridSpan w:val="2"/>
            <w:shd w:val="clear" w:color="000000" w:fill="D8D8D8"/>
            <w:vAlign w:val="center"/>
          </w:tcPr>
          <w:p w14:paraId="24B087AE" w14:textId="77777777" w:rsidR="00D04333" w:rsidRDefault="00D04333" w:rsidP="00D04333">
            <w:pPr>
              <w:widowControl/>
              <w:rPr>
                <w:rFonts w:ascii="宋体" w:hAnsi="宋体" w:hint="eastAsia"/>
                <w:color w:val="000000"/>
                <w:kern w:val="0"/>
                <w:szCs w:val="21"/>
              </w:rPr>
            </w:pPr>
            <w:r>
              <w:rPr>
                <w:rFonts w:ascii="宋体" w:hAnsi="宋体"/>
                <w:color w:val="000000"/>
                <w:kern w:val="0"/>
                <w:szCs w:val="21"/>
              </w:rPr>
              <w:t>同比增减率</w:t>
            </w:r>
          </w:p>
        </w:tc>
      </w:tr>
      <w:tr w:rsidR="00D84083" w14:paraId="4B3C3EAC" w14:textId="77777777" w:rsidTr="008E33E0">
        <w:trPr>
          <w:trHeight w:val="255"/>
          <w:jc w:val="center"/>
        </w:trPr>
        <w:tc>
          <w:tcPr>
            <w:tcW w:w="1666" w:type="pct"/>
            <w:vAlign w:val="center"/>
          </w:tcPr>
          <w:p w14:paraId="19472C2D"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营业收入</w:t>
            </w:r>
          </w:p>
        </w:tc>
        <w:tc>
          <w:tcPr>
            <w:tcW w:w="952" w:type="pct"/>
            <w:noWrap/>
            <w:vAlign w:val="center"/>
          </w:tcPr>
          <w:p w14:paraId="5A76716B" w14:textId="7CC36B2B"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345,703.05</w:t>
            </w:r>
          </w:p>
        </w:tc>
        <w:tc>
          <w:tcPr>
            <w:tcW w:w="958" w:type="pct"/>
            <w:noWrap/>
            <w:vAlign w:val="center"/>
          </w:tcPr>
          <w:p w14:paraId="0CEA031F" w14:textId="639EA9EA"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348,666.07</w:t>
            </w:r>
          </w:p>
        </w:tc>
        <w:tc>
          <w:tcPr>
            <w:tcW w:w="677" w:type="pct"/>
            <w:gridSpan w:val="2"/>
            <w:noWrap/>
            <w:vAlign w:val="center"/>
          </w:tcPr>
          <w:p w14:paraId="0886694C" w14:textId="0AC87C93"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-2,963.02</w:t>
            </w:r>
          </w:p>
        </w:tc>
        <w:tc>
          <w:tcPr>
            <w:tcW w:w="747" w:type="pct"/>
            <w:gridSpan w:val="2"/>
            <w:vAlign w:val="center"/>
          </w:tcPr>
          <w:p w14:paraId="27824275" w14:textId="1EC7A71E"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-0.85%</w:t>
            </w:r>
          </w:p>
        </w:tc>
      </w:tr>
      <w:tr w:rsidR="00D84083" w14:paraId="47178BD3" w14:textId="77777777" w:rsidTr="008E33E0">
        <w:trPr>
          <w:trHeight w:val="255"/>
          <w:jc w:val="center"/>
        </w:trPr>
        <w:tc>
          <w:tcPr>
            <w:tcW w:w="1666" w:type="pct"/>
            <w:vAlign w:val="center"/>
          </w:tcPr>
          <w:p w14:paraId="613D20DA"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毛利润</w:t>
            </w:r>
          </w:p>
        </w:tc>
        <w:tc>
          <w:tcPr>
            <w:tcW w:w="952" w:type="pct"/>
            <w:noWrap/>
            <w:vAlign w:val="center"/>
          </w:tcPr>
          <w:p w14:paraId="01223945" w14:textId="2A6E5F8B"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3,164.08</w:t>
            </w:r>
          </w:p>
        </w:tc>
        <w:tc>
          <w:tcPr>
            <w:tcW w:w="958" w:type="pct"/>
            <w:noWrap/>
            <w:vAlign w:val="center"/>
          </w:tcPr>
          <w:p w14:paraId="18FBB907" w14:textId="245CFD43"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19,502.02</w:t>
            </w:r>
          </w:p>
        </w:tc>
        <w:tc>
          <w:tcPr>
            <w:tcW w:w="677" w:type="pct"/>
            <w:gridSpan w:val="2"/>
            <w:noWrap/>
            <w:vAlign w:val="center"/>
          </w:tcPr>
          <w:p w14:paraId="0BF5F46D" w14:textId="49FAA994"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-16,337.94</w:t>
            </w:r>
          </w:p>
        </w:tc>
        <w:tc>
          <w:tcPr>
            <w:tcW w:w="747" w:type="pct"/>
            <w:gridSpan w:val="2"/>
            <w:vAlign w:val="center"/>
          </w:tcPr>
          <w:p w14:paraId="75AE9F05" w14:textId="675E3240"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-83.78%</w:t>
            </w:r>
          </w:p>
        </w:tc>
      </w:tr>
      <w:tr w:rsidR="00D84083" w14:paraId="24AA848A" w14:textId="77777777" w:rsidTr="008E33E0">
        <w:trPr>
          <w:trHeight w:val="255"/>
          <w:jc w:val="center"/>
        </w:trPr>
        <w:tc>
          <w:tcPr>
            <w:tcW w:w="1666" w:type="pct"/>
            <w:vAlign w:val="center"/>
          </w:tcPr>
          <w:p w14:paraId="6D5BE967"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毛利率</w:t>
            </w:r>
          </w:p>
        </w:tc>
        <w:tc>
          <w:tcPr>
            <w:tcW w:w="952" w:type="pct"/>
            <w:noWrap/>
            <w:vAlign w:val="center"/>
          </w:tcPr>
          <w:p w14:paraId="7A1606C1" w14:textId="4E4614B1"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0.92%</w:t>
            </w:r>
          </w:p>
        </w:tc>
        <w:tc>
          <w:tcPr>
            <w:tcW w:w="958" w:type="pct"/>
            <w:noWrap/>
            <w:vAlign w:val="center"/>
          </w:tcPr>
          <w:p w14:paraId="3A0E2182" w14:textId="6FA03CC8"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5.59%</w:t>
            </w:r>
          </w:p>
        </w:tc>
        <w:tc>
          <w:tcPr>
            <w:tcW w:w="677" w:type="pct"/>
            <w:gridSpan w:val="2"/>
            <w:noWrap/>
            <w:vAlign w:val="center"/>
          </w:tcPr>
          <w:p w14:paraId="4B285AC2" w14:textId="7148AD7A" w:rsidR="00D84083" w:rsidRDefault="00D84083" w:rsidP="00D84083">
            <w:pPr>
              <w:widowControl/>
              <w:jc w:val="right"/>
              <w:rPr>
                <w:rFonts w:ascii="宋体" w:hAnsi="宋体" w:hint="eastAsia"/>
                <w:color w:val="000000"/>
                <w:kern w:val="0"/>
                <w:szCs w:val="21"/>
              </w:rPr>
            </w:pPr>
          </w:p>
        </w:tc>
        <w:tc>
          <w:tcPr>
            <w:tcW w:w="747" w:type="pct"/>
            <w:gridSpan w:val="2"/>
            <w:vAlign w:val="center"/>
          </w:tcPr>
          <w:p w14:paraId="662E98D8" w14:textId="47A35BAB"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-4.67%</w:t>
            </w:r>
          </w:p>
        </w:tc>
      </w:tr>
      <w:tr w:rsidR="00D84083" w14:paraId="58A8B989" w14:textId="77777777" w:rsidTr="008E33E0">
        <w:trPr>
          <w:trHeight w:val="255"/>
          <w:jc w:val="center"/>
        </w:trPr>
        <w:tc>
          <w:tcPr>
            <w:tcW w:w="1666" w:type="pct"/>
            <w:vAlign w:val="center"/>
          </w:tcPr>
          <w:p w14:paraId="3CAB7574"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期间费用</w:t>
            </w:r>
          </w:p>
        </w:tc>
        <w:tc>
          <w:tcPr>
            <w:tcW w:w="952" w:type="pct"/>
            <w:noWrap/>
            <w:vAlign w:val="center"/>
          </w:tcPr>
          <w:p w14:paraId="18C5BC62" w14:textId="6AFDC946"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78,757.83</w:t>
            </w:r>
          </w:p>
        </w:tc>
        <w:tc>
          <w:tcPr>
            <w:tcW w:w="958" w:type="pct"/>
            <w:noWrap/>
            <w:vAlign w:val="center"/>
          </w:tcPr>
          <w:p w14:paraId="74D8BBE3" w14:textId="3FE9EBD1"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78,266.77</w:t>
            </w:r>
          </w:p>
        </w:tc>
        <w:tc>
          <w:tcPr>
            <w:tcW w:w="677" w:type="pct"/>
            <w:gridSpan w:val="2"/>
            <w:noWrap/>
            <w:vAlign w:val="center"/>
          </w:tcPr>
          <w:p w14:paraId="39ACEDD3" w14:textId="3C508EF0"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491.06</w:t>
            </w:r>
          </w:p>
        </w:tc>
        <w:tc>
          <w:tcPr>
            <w:tcW w:w="747" w:type="pct"/>
            <w:gridSpan w:val="2"/>
            <w:vAlign w:val="center"/>
          </w:tcPr>
          <w:p w14:paraId="3A2C82F5" w14:textId="029D156F"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0.63%</w:t>
            </w:r>
          </w:p>
        </w:tc>
      </w:tr>
      <w:tr w:rsidR="00D84083" w14:paraId="6B9CF3BB" w14:textId="77777777" w:rsidTr="008E33E0">
        <w:trPr>
          <w:trHeight w:val="255"/>
          <w:jc w:val="center"/>
        </w:trPr>
        <w:tc>
          <w:tcPr>
            <w:tcW w:w="1666" w:type="pct"/>
            <w:vAlign w:val="center"/>
          </w:tcPr>
          <w:p w14:paraId="5BE29003"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其中：销售费用</w:t>
            </w:r>
          </w:p>
        </w:tc>
        <w:tc>
          <w:tcPr>
            <w:tcW w:w="952" w:type="pct"/>
            <w:noWrap/>
            <w:vAlign w:val="center"/>
          </w:tcPr>
          <w:p w14:paraId="1DBBBBBA" w14:textId="7DB885A1"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10,368.63</w:t>
            </w:r>
          </w:p>
        </w:tc>
        <w:tc>
          <w:tcPr>
            <w:tcW w:w="958" w:type="pct"/>
            <w:noWrap/>
            <w:vAlign w:val="center"/>
          </w:tcPr>
          <w:p w14:paraId="461D92FB" w14:textId="25EB3FAC"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8,693.69</w:t>
            </w:r>
          </w:p>
        </w:tc>
        <w:tc>
          <w:tcPr>
            <w:tcW w:w="677" w:type="pct"/>
            <w:gridSpan w:val="2"/>
            <w:noWrap/>
            <w:vAlign w:val="center"/>
          </w:tcPr>
          <w:p w14:paraId="779C7ACD" w14:textId="25B4945F"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1,674.94</w:t>
            </w:r>
          </w:p>
        </w:tc>
        <w:tc>
          <w:tcPr>
            <w:tcW w:w="747" w:type="pct"/>
            <w:gridSpan w:val="2"/>
            <w:vAlign w:val="center"/>
          </w:tcPr>
          <w:p w14:paraId="491FFF96" w14:textId="5080E908"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19.27%</w:t>
            </w:r>
          </w:p>
        </w:tc>
      </w:tr>
      <w:tr w:rsidR="00D84083" w14:paraId="6EEF3712" w14:textId="77777777" w:rsidTr="008E33E0">
        <w:trPr>
          <w:trHeight w:val="255"/>
          <w:jc w:val="center"/>
        </w:trPr>
        <w:tc>
          <w:tcPr>
            <w:tcW w:w="1666" w:type="pct"/>
            <w:vAlign w:val="center"/>
          </w:tcPr>
          <w:p w14:paraId="7F3F4FC1" w14:textId="77777777" w:rsidR="00D84083" w:rsidRDefault="00D84083" w:rsidP="00D84083">
            <w:pPr>
              <w:widowControl/>
              <w:ind w:firstLineChars="300" w:firstLine="630"/>
              <w:rPr>
                <w:rFonts w:ascii="宋体" w:hAnsi="宋体" w:hint="eastAsia"/>
                <w:color w:val="000000"/>
                <w:kern w:val="0"/>
                <w:szCs w:val="21"/>
              </w:rPr>
            </w:pPr>
            <w:r>
              <w:rPr>
                <w:rFonts w:ascii="宋体" w:hAnsi="宋体"/>
                <w:color w:val="000000"/>
                <w:kern w:val="0"/>
                <w:szCs w:val="21"/>
              </w:rPr>
              <w:t>管理费用</w:t>
            </w:r>
          </w:p>
        </w:tc>
        <w:tc>
          <w:tcPr>
            <w:tcW w:w="952" w:type="pct"/>
            <w:noWrap/>
            <w:vAlign w:val="center"/>
          </w:tcPr>
          <w:p w14:paraId="3AE3A503" w14:textId="3E58D1C6"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38,134.13</w:t>
            </w:r>
          </w:p>
        </w:tc>
        <w:tc>
          <w:tcPr>
            <w:tcW w:w="958" w:type="pct"/>
            <w:noWrap/>
            <w:vAlign w:val="center"/>
          </w:tcPr>
          <w:p w14:paraId="4A3E2E58" w14:textId="3D278F77"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39,493.32</w:t>
            </w:r>
          </w:p>
        </w:tc>
        <w:tc>
          <w:tcPr>
            <w:tcW w:w="677" w:type="pct"/>
            <w:gridSpan w:val="2"/>
            <w:noWrap/>
            <w:vAlign w:val="center"/>
          </w:tcPr>
          <w:p w14:paraId="4E84C008" w14:textId="6BB1EB24"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-1,359.19</w:t>
            </w:r>
          </w:p>
        </w:tc>
        <w:tc>
          <w:tcPr>
            <w:tcW w:w="747" w:type="pct"/>
            <w:gridSpan w:val="2"/>
            <w:vAlign w:val="center"/>
          </w:tcPr>
          <w:p w14:paraId="55C7D97B" w14:textId="686821BF"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-3.44%</w:t>
            </w:r>
          </w:p>
        </w:tc>
      </w:tr>
      <w:tr w:rsidR="00D84083" w14:paraId="62C46295" w14:textId="77777777" w:rsidTr="008E33E0">
        <w:trPr>
          <w:trHeight w:val="255"/>
          <w:jc w:val="center"/>
        </w:trPr>
        <w:tc>
          <w:tcPr>
            <w:tcW w:w="1666" w:type="pct"/>
            <w:vAlign w:val="center"/>
          </w:tcPr>
          <w:p w14:paraId="6A20A340" w14:textId="77777777" w:rsidR="00D84083" w:rsidRDefault="00D84083" w:rsidP="00D84083">
            <w:pPr>
              <w:widowControl/>
              <w:ind w:firstLineChars="300" w:firstLine="630"/>
              <w:rPr>
                <w:rFonts w:ascii="宋体" w:hAnsi="宋体" w:hint="eastAsia"/>
                <w:color w:val="000000"/>
                <w:kern w:val="0"/>
                <w:szCs w:val="21"/>
              </w:rPr>
            </w:pPr>
            <w:r>
              <w:rPr>
                <w:rFonts w:ascii="宋体" w:hAnsi="宋体" w:hint="eastAsia"/>
                <w:color w:val="000000"/>
                <w:kern w:val="0"/>
                <w:szCs w:val="21"/>
              </w:rPr>
              <w:t>研发</w:t>
            </w:r>
            <w:r>
              <w:rPr>
                <w:rFonts w:ascii="宋体" w:hAnsi="宋体"/>
                <w:color w:val="000000"/>
                <w:kern w:val="0"/>
                <w:szCs w:val="21"/>
              </w:rPr>
              <w:t>费用</w:t>
            </w:r>
          </w:p>
        </w:tc>
        <w:tc>
          <w:tcPr>
            <w:tcW w:w="952" w:type="pct"/>
            <w:noWrap/>
            <w:vAlign w:val="center"/>
          </w:tcPr>
          <w:p w14:paraId="0123B5E1" w14:textId="1FF27EEB"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12,176.93</w:t>
            </w:r>
          </w:p>
        </w:tc>
        <w:tc>
          <w:tcPr>
            <w:tcW w:w="958" w:type="pct"/>
            <w:noWrap/>
            <w:vAlign w:val="center"/>
          </w:tcPr>
          <w:p w14:paraId="5205343B" w14:textId="388831D0"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11,502.14</w:t>
            </w:r>
          </w:p>
        </w:tc>
        <w:tc>
          <w:tcPr>
            <w:tcW w:w="677" w:type="pct"/>
            <w:gridSpan w:val="2"/>
            <w:noWrap/>
            <w:vAlign w:val="center"/>
          </w:tcPr>
          <w:p w14:paraId="2CB19DD1" w14:textId="7FCE5847"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674.79</w:t>
            </w:r>
          </w:p>
        </w:tc>
        <w:tc>
          <w:tcPr>
            <w:tcW w:w="747" w:type="pct"/>
            <w:gridSpan w:val="2"/>
            <w:vAlign w:val="center"/>
          </w:tcPr>
          <w:p w14:paraId="35002CD3" w14:textId="4CA5DB01"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5.87%</w:t>
            </w:r>
          </w:p>
        </w:tc>
      </w:tr>
      <w:tr w:rsidR="00D84083" w14:paraId="74BF63A2" w14:textId="77777777" w:rsidTr="008E33E0">
        <w:trPr>
          <w:trHeight w:val="255"/>
          <w:jc w:val="center"/>
        </w:trPr>
        <w:tc>
          <w:tcPr>
            <w:tcW w:w="1666" w:type="pct"/>
            <w:vAlign w:val="center"/>
          </w:tcPr>
          <w:p w14:paraId="2306D65B" w14:textId="77777777" w:rsidR="00D84083" w:rsidRDefault="00D84083" w:rsidP="00D84083">
            <w:pPr>
              <w:widowControl/>
              <w:ind w:firstLineChars="300" w:firstLine="630"/>
              <w:rPr>
                <w:rFonts w:ascii="宋体" w:hAnsi="宋体" w:hint="eastAsia"/>
                <w:color w:val="000000"/>
                <w:kern w:val="0"/>
                <w:szCs w:val="21"/>
              </w:rPr>
            </w:pPr>
            <w:r>
              <w:rPr>
                <w:rFonts w:ascii="宋体" w:hAnsi="宋体"/>
                <w:color w:val="000000"/>
                <w:kern w:val="0"/>
                <w:szCs w:val="21"/>
              </w:rPr>
              <w:t>财务费用</w:t>
            </w:r>
          </w:p>
        </w:tc>
        <w:tc>
          <w:tcPr>
            <w:tcW w:w="952" w:type="pct"/>
            <w:noWrap/>
            <w:vAlign w:val="center"/>
          </w:tcPr>
          <w:p w14:paraId="585A2DEF" w14:textId="63BB23CB"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18,078.14</w:t>
            </w:r>
          </w:p>
        </w:tc>
        <w:tc>
          <w:tcPr>
            <w:tcW w:w="958" w:type="pct"/>
            <w:noWrap/>
            <w:vAlign w:val="center"/>
          </w:tcPr>
          <w:p w14:paraId="16A1119A" w14:textId="7B182A10"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18,577.62</w:t>
            </w:r>
          </w:p>
        </w:tc>
        <w:tc>
          <w:tcPr>
            <w:tcW w:w="677" w:type="pct"/>
            <w:gridSpan w:val="2"/>
            <w:noWrap/>
            <w:vAlign w:val="center"/>
          </w:tcPr>
          <w:p w14:paraId="3C2D0A60" w14:textId="0D5F80C9"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-499.48</w:t>
            </w:r>
          </w:p>
        </w:tc>
        <w:tc>
          <w:tcPr>
            <w:tcW w:w="747" w:type="pct"/>
            <w:gridSpan w:val="2"/>
            <w:vAlign w:val="center"/>
          </w:tcPr>
          <w:p w14:paraId="26F3DF04" w14:textId="56474474"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-2.69%</w:t>
            </w:r>
          </w:p>
        </w:tc>
      </w:tr>
      <w:tr w:rsidR="00D84083" w14:paraId="2E57D24C" w14:textId="77777777" w:rsidTr="008E33E0">
        <w:trPr>
          <w:trHeight w:val="255"/>
          <w:jc w:val="center"/>
        </w:trPr>
        <w:tc>
          <w:tcPr>
            <w:tcW w:w="1666" w:type="pct"/>
            <w:vAlign w:val="center"/>
          </w:tcPr>
          <w:p w14:paraId="6D5E2D1E"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期间费用占收入比</w:t>
            </w:r>
          </w:p>
        </w:tc>
        <w:tc>
          <w:tcPr>
            <w:tcW w:w="952" w:type="pct"/>
            <w:noWrap/>
            <w:vAlign w:val="center"/>
          </w:tcPr>
          <w:p w14:paraId="50F5CE0F" w14:textId="0C1D7F12"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22.78%</w:t>
            </w:r>
          </w:p>
        </w:tc>
        <w:tc>
          <w:tcPr>
            <w:tcW w:w="958" w:type="pct"/>
            <w:noWrap/>
            <w:vAlign w:val="center"/>
          </w:tcPr>
          <w:p w14:paraId="00EF0087" w14:textId="443C4A0C"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22.45%</w:t>
            </w:r>
          </w:p>
        </w:tc>
        <w:tc>
          <w:tcPr>
            <w:tcW w:w="677" w:type="pct"/>
            <w:gridSpan w:val="2"/>
            <w:noWrap/>
            <w:vAlign w:val="center"/>
          </w:tcPr>
          <w:p w14:paraId="6BF3DDCF" w14:textId="57F185E0" w:rsidR="00D84083" w:rsidRDefault="00D84083" w:rsidP="00D84083">
            <w:pPr>
              <w:widowControl/>
              <w:jc w:val="right"/>
              <w:rPr>
                <w:rFonts w:ascii="宋体" w:hAnsi="宋体" w:hint="eastAsia"/>
                <w:color w:val="000000"/>
                <w:kern w:val="0"/>
                <w:szCs w:val="21"/>
              </w:rPr>
            </w:pPr>
          </w:p>
        </w:tc>
        <w:tc>
          <w:tcPr>
            <w:tcW w:w="747" w:type="pct"/>
            <w:gridSpan w:val="2"/>
            <w:vAlign w:val="center"/>
          </w:tcPr>
          <w:p w14:paraId="059132D5" w14:textId="768C514E"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1.47%</w:t>
            </w:r>
          </w:p>
        </w:tc>
      </w:tr>
      <w:tr w:rsidR="00D84083" w14:paraId="6927E32F" w14:textId="77777777" w:rsidTr="008E33E0">
        <w:trPr>
          <w:trHeight w:val="255"/>
          <w:jc w:val="center"/>
        </w:trPr>
        <w:tc>
          <w:tcPr>
            <w:tcW w:w="1666" w:type="pct"/>
            <w:vAlign w:val="center"/>
          </w:tcPr>
          <w:p w14:paraId="7A2B7AEF"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净利润</w:t>
            </w:r>
          </w:p>
        </w:tc>
        <w:tc>
          <w:tcPr>
            <w:tcW w:w="952" w:type="pct"/>
            <w:noWrap/>
            <w:vAlign w:val="center"/>
          </w:tcPr>
          <w:p w14:paraId="71180E0B" w14:textId="34B6F0F9"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-134,357.69</w:t>
            </w:r>
          </w:p>
        </w:tc>
        <w:tc>
          <w:tcPr>
            <w:tcW w:w="958" w:type="pct"/>
            <w:noWrap/>
            <w:vAlign w:val="center"/>
          </w:tcPr>
          <w:p w14:paraId="42DFB980" w14:textId="6E54F7F7"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-88,755.54</w:t>
            </w:r>
          </w:p>
        </w:tc>
        <w:tc>
          <w:tcPr>
            <w:tcW w:w="677" w:type="pct"/>
            <w:gridSpan w:val="2"/>
            <w:noWrap/>
            <w:vAlign w:val="center"/>
          </w:tcPr>
          <w:p w14:paraId="1BDC46EF" w14:textId="0807C03D"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-45,602.15</w:t>
            </w:r>
          </w:p>
        </w:tc>
        <w:tc>
          <w:tcPr>
            <w:tcW w:w="747" w:type="pct"/>
            <w:gridSpan w:val="2"/>
            <w:vAlign w:val="center"/>
          </w:tcPr>
          <w:p w14:paraId="6C99F3B9" w14:textId="787AA6DF"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-51.38%</w:t>
            </w:r>
          </w:p>
        </w:tc>
      </w:tr>
      <w:tr w:rsidR="00D84083" w14:paraId="1A66E92C" w14:textId="77777777" w:rsidTr="008E33E0">
        <w:trPr>
          <w:trHeight w:val="255"/>
          <w:jc w:val="center"/>
        </w:trPr>
        <w:tc>
          <w:tcPr>
            <w:tcW w:w="1666" w:type="pct"/>
            <w:vAlign w:val="center"/>
          </w:tcPr>
          <w:p w14:paraId="3A438054"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净利润率</w:t>
            </w:r>
          </w:p>
        </w:tc>
        <w:tc>
          <w:tcPr>
            <w:tcW w:w="952" w:type="pct"/>
            <w:noWrap/>
            <w:vAlign w:val="center"/>
          </w:tcPr>
          <w:p w14:paraId="4A9EF2D4" w14:textId="5ED09797"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-38.87%</w:t>
            </w:r>
          </w:p>
        </w:tc>
        <w:tc>
          <w:tcPr>
            <w:tcW w:w="958" w:type="pct"/>
            <w:noWrap/>
            <w:vAlign w:val="center"/>
          </w:tcPr>
          <w:p w14:paraId="4ED68076" w14:textId="56347627"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-25.46%</w:t>
            </w:r>
          </w:p>
        </w:tc>
        <w:tc>
          <w:tcPr>
            <w:tcW w:w="677" w:type="pct"/>
            <w:gridSpan w:val="2"/>
            <w:noWrap/>
            <w:vAlign w:val="center"/>
          </w:tcPr>
          <w:p w14:paraId="160B19B8" w14:textId="35A59DDF" w:rsidR="00D84083" w:rsidRDefault="00D84083" w:rsidP="00D84083">
            <w:pPr>
              <w:widowControl/>
              <w:jc w:val="right"/>
              <w:rPr>
                <w:rFonts w:ascii="宋体" w:hAnsi="宋体" w:hint="eastAsia"/>
                <w:color w:val="000000"/>
                <w:kern w:val="0"/>
                <w:szCs w:val="21"/>
              </w:rPr>
            </w:pPr>
          </w:p>
        </w:tc>
        <w:tc>
          <w:tcPr>
            <w:tcW w:w="747" w:type="pct"/>
            <w:gridSpan w:val="2"/>
            <w:vAlign w:val="center"/>
          </w:tcPr>
          <w:p w14:paraId="42E65C12" w14:textId="5FF71683"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-13.41%</w:t>
            </w:r>
          </w:p>
        </w:tc>
      </w:tr>
      <w:tr w:rsidR="00D84083" w14:paraId="2D3F1A83" w14:textId="77777777" w:rsidTr="008E33E0">
        <w:trPr>
          <w:trHeight w:val="255"/>
          <w:jc w:val="center"/>
        </w:trPr>
        <w:tc>
          <w:tcPr>
            <w:tcW w:w="1666" w:type="pct"/>
            <w:vAlign w:val="center"/>
          </w:tcPr>
          <w:p w14:paraId="790BED29"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归属于上市公司股东的净利润</w:t>
            </w:r>
          </w:p>
        </w:tc>
        <w:tc>
          <w:tcPr>
            <w:tcW w:w="952" w:type="pct"/>
            <w:noWrap/>
            <w:vAlign w:val="center"/>
          </w:tcPr>
          <w:p w14:paraId="5996363A" w14:textId="796F7FD7"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-123,153.78</w:t>
            </w:r>
          </w:p>
        </w:tc>
        <w:tc>
          <w:tcPr>
            <w:tcW w:w="958" w:type="pct"/>
            <w:noWrap/>
            <w:vAlign w:val="center"/>
          </w:tcPr>
          <w:p w14:paraId="72AB447B" w14:textId="1BAAD172"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-80,418.59</w:t>
            </w:r>
          </w:p>
        </w:tc>
        <w:tc>
          <w:tcPr>
            <w:tcW w:w="677" w:type="pct"/>
            <w:gridSpan w:val="2"/>
            <w:noWrap/>
            <w:vAlign w:val="center"/>
          </w:tcPr>
          <w:p w14:paraId="2F6F14BA" w14:textId="26D94975"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-42,735.19</w:t>
            </w:r>
          </w:p>
        </w:tc>
        <w:tc>
          <w:tcPr>
            <w:tcW w:w="747" w:type="pct"/>
            <w:gridSpan w:val="2"/>
            <w:vAlign w:val="center"/>
          </w:tcPr>
          <w:p w14:paraId="537AE8BA" w14:textId="56608F7C"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-53.14%</w:t>
            </w:r>
          </w:p>
        </w:tc>
      </w:tr>
      <w:tr w:rsidR="0034689C" w14:paraId="3FD3EF3E" w14:textId="77777777" w:rsidTr="008E33E0">
        <w:trPr>
          <w:trHeight w:val="255"/>
          <w:jc w:val="center"/>
        </w:trPr>
        <w:tc>
          <w:tcPr>
            <w:tcW w:w="1666" w:type="pct"/>
            <w:vAlign w:val="center"/>
          </w:tcPr>
          <w:p w14:paraId="68E8DF7D" w14:textId="77777777" w:rsidR="0034689C" w:rsidRDefault="0034689C" w:rsidP="0034689C">
            <w:pPr>
              <w:widowControl/>
              <w:rPr>
                <w:rFonts w:ascii="宋体" w:hAnsi="宋体" w:hint="eastAsia"/>
                <w:color w:val="000000"/>
                <w:kern w:val="0"/>
                <w:szCs w:val="21"/>
              </w:rPr>
            </w:pPr>
            <w:r>
              <w:rPr>
                <w:rFonts w:ascii="宋体" w:hAnsi="宋体"/>
                <w:color w:val="000000"/>
                <w:kern w:val="0"/>
                <w:szCs w:val="21"/>
              </w:rPr>
              <w:t>归属于上市公司股东的扣除非经常性损益的净利润</w:t>
            </w:r>
          </w:p>
        </w:tc>
        <w:tc>
          <w:tcPr>
            <w:tcW w:w="952" w:type="pct"/>
            <w:noWrap/>
            <w:vAlign w:val="center"/>
          </w:tcPr>
          <w:p w14:paraId="48D2BEB0" w14:textId="49BD1C3D" w:rsidR="0034689C" w:rsidRDefault="0034689C" w:rsidP="0034689C">
            <w:pPr>
              <w:widowControl/>
              <w:jc w:val="right"/>
              <w:rPr>
                <w:rFonts w:ascii="宋体" w:hAnsi="宋体" w:hint="eastAsia"/>
                <w:color w:val="000000"/>
                <w:kern w:val="0"/>
                <w:szCs w:val="21"/>
              </w:rPr>
            </w:pPr>
            <w:r w:rsidRPr="003A58DE">
              <w:rPr>
                <w:rFonts w:ascii="宋体" w:hAnsi="宋体"/>
                <w:color w:val="000000"/>
                <w:kern w:val="0"/>
                <w:szCs w:val="21"/>
              </w:rPr>
              <w:t>-113,676.69</w:t>
            </w:r>
          </w:p>
        </w:tc>
        <w:tc>
          <w:tcPr>
            <w:tcW w:w="958" w:type="pct"/>
            <w:noWrap/>
            <w:vAlign w:val="center"/>
          </w:tcPr>
          <w:p w14:paraId="57EA3E94" w14:textId="76F11E75" w:rsidR="0034689C" w:rsidRDefault="0034689C" w:rsidP="0034689C">
            <w:pPr>
              <w:widowControl/>
              <w:jc w:val="right"/>
              <w:rPr>
                <w:rFonts w:ascii="宋体" w:hAnsi="宋体" w:hint="eastAsia"/>
                <w:color w:val="000000"/>
                <w:kern w:val="0"/>
                <w:szCs w:val="21"/>
              </w:rPr>
            </w:pPr>
            <w:r w:rsidRPr="003A58DE">
              <w:rPr>
                <w:rFonts w:ascii="宋体" w:hAnsi="宋体"/>
                <w:color w:val="000000"/>
                <w:kern w:val="0"/>
                <w:szCs w:val="21"/>
              </w:rPr>
              <w:t>-80,976.81</w:t>
            </w:r>
          </w:p>
        </w:tc>
        <w:tc>
          <w:tcPr>
            <w:tcW w:w="677" w:type="pct"/>
            <w:gridSpan w:val="2"/>
            <w:noWrap/>
            <w:vAlign w:val="center"/>
          </w:tcPr>
          <w:p w14:paraId="506F8909" w14:textId="1B2A6797" w:rsidR="0034689C" w:rsidRDefault="0034689C" w:rsidP="0034689C">
            <w:pPr>
              <w:widowControl/>
              <w:jc w:val="right"/>
              <w:rPr>
                <w:rFonts w:ascii="宋体" w:hAnsi="宋体" w:hint="eastAsia"/>
                <w:color w:val="000000"/>
                <w:kern w:val="0"/>
                <w:szCs w:val="21"/>
              </w:rPr>
            </w:pPr>
            <w:r w:rsidRPr="003A58DE">
              <w:rPr>
                <w:rFonts w:ascii="宋体" w:hAnsi="宋体"/>
                <w:color w:val="000000"/>
                <w:kern w:val="0"/>
                <w:szCs w:val="21"/>
              </w:rPr>
              <w:t>-32,699.88</w:t>
            </w:r>
          </w:p>
        </w:tc>
        <w:tc>
          <w:tcPr>
            <w:tcW w:w="747" w:type="pct"/>
            <w:gridSpan w:val="2"/>
            <w:vAlign w:val="center"/>
          </w:tcPr>
          <w:p w14:paraId="61E8ECDE" w14:textId="44D4D3B6" w:rsidR="0034689C" w:rsidRDefault="0034689C" w:rsidP="0034689C">
            <w:pPr>
              <w:widowControl/>
              <w:jc w:val="right"/>
              <w:rPr>
                <w:rFonts w:ascii="宋体" w:hAnsi="宋体" w:hint="eastAsia"/>
                <w:color w:val="000000"/>
                <w:kern w:val="0"/>
                <w:szCs w:val="21"/>
              </w:rPr>
            </w:pPr>
            <w:r w:rsidRPr="003A58DE">
              <w:rPr>
                <w:rFonts w:ascii="宋体" w:hAnsi="宋体"/>
                <w:color w:val="000000"/>
                <w:kern w:val="0"/>
                <w:szCs w:val="21"/>
              </w:rPr>
              <w:t>-40.38%</w:t>
            </w:r>
          </w:p>
        </w:tc>
      </w:tr>
      <w:tr w:rsidR="00D84083" w14:paraId="556DD950" w14:textId="77777777" w:rsidTr="008E33E0">
        <w:trPr>
          <w:trHeight w:val="255"/>
          <w:jc w:val="center"/>
        </w:trPr>
        <w:tc>
          <w:tcPr>
            <w:tcW w:w="1666" w:type="pct"/>
            <w:vAlign w:val="center"/>
          </w:tcPr>
          <w:p w14:paraId="408DFB42"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加权平均净资产收益率</w:t>
            </w:r>
          </w:p>
        </w:tc>
        <w:tc>
          <w:tcPr>
            <w:tcW w:w="952" w:type="pct"/>
            <w:noWrap/>
            <w:vAlign w:val="center"/>
          </w:tcPr>
          <w:p w14:paraId="21ECF5BC" w14:textId="5B49F281"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-41.27%</w:t>
            </w:r>
          </w:p>
        </w:tc>
        <w:tc>
          <w:tcPr>
            <w:tcW w:w="958" w:type="pct"/>
            <w:noWrap/>
            <w:vAlign w:val="center"/>
          </w:tcPr>
          <w:p w14:paraId="1A9BF036" w14:textId="12CC7BE1"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-19.86%</w:t>
            </w:r>
          </w:p>
        </w:tc>
        <w:tc>
          <w:tcPr>
            <w:tcW w:w="677" w:type="pct"/>
            <w:gridSpan w:val="2"/>
            <w:noWrap/>
            <w:vAlign w:val="center"/>
          </w:tcPr>
          <w:p w14:paraId="6B5B02F5" w14:textId="49B92B13" w:rsidR="00D84083" w:rsidRDefault="00D84083" w:rsidP="00D84083">
            <w:pPr>
              <w:widowControl/>
              <w:jc w:val="right"/>
              <w:rPr>
                <w:rFonts w:ascii="宋体" w:hAnsi="宋体" w:hint="eastAsia"/>
                <w:color w:val="000000"/>
                <w:kern w:val="0"/>
                <w:szCs w:val="21"/>
              </w:rPr>
            </w:pPr>
          </w:p>
        </w:tc>
        <w:tc>
          <w:tcPr>
            <w:tcW w:w="747" w:type="pct"/>
            <w:gridSpan w:val="2"/>
            <w:vAlign w:val="center"/>
          </w:tcPr>
          <w:p w14:paraId="1D8D6BD0" w14:textId="6E70CE74"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-21.41%</w:t>
            </w:r>
          </w:p>
        </w:tc>
      </w:tr>
      <w:tr w:rsidR="00D84083" w14:paraId="65F23FA5" w14:textId="77777777" w:rsidTr="008E33E0">
        <w:trPr>
          <w:trHeight w:val="255"/>
          <w:jc w:val="center"/>
        </w:trPr>
        <w:tc>
          <w:tcPr>
            <w:tcW w:w="1666" w:type="pct"/>
            <w:vAlign w:val="center"/>
          </w:tcPr>
          <w:p w14:paraId="7236A83A"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加权平均净资产收益率（扣除非经常性损益后）</w:t>
            </w:r>
          </w:p>
        </w:tc>
        <w:tc>
          <w:tcPr>
            <w:tcW w:w="952" w:type="pct"/>
            <w:noWrap/>
            <w:vAlign w:val="center"/>
          </w:tcPr>
          <w:p w14:paraId="35E0B4ED" w14:textId="172FE5EF"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-38.</w:t>
            </w:r>
            <w:r w:rsidR="004833D1" w:rsidRPr="00D84083">
              <w:rPr>
                <w:rFonts w:ascii="宋体" w:hAnsi="宋体"/>
                <w:color w:val="000000"/>
                <w:kern w:val="0"/>
                <w:szCs w:val="21"/>
              </w:rPr>
              <w:t>0</w:t>
            </w:r>
            <w:r w:rsidR="004833D1">
              <w:rPr>
                <w:rFonts w:ascii="宋体" w:hAnsi="宋体" w:hint="eastAsia"/>
                <w:color w:val="000000"/>
                <w:kern w:val="0"/>
                <w:szCs w:val="21"/>
              </w:rPr>
              <w:t>9</w:t>
            </w:r>
            <w:r w:rsidRPr="00D84083">
              <w:rPr>
                <w:rFonts w:ascii="宋体" w:hAnsi="宋体"/>
                <w:color w:val="000000"/>
                <w:kern w:val="0"/>
                <w:szCs w:val="21"/>
              </w:rPr>
              <w:t>%</w:t>
            </w:r>
          </w:p>
        </w:tc>
        <w:tc>
          <w:tcPr>
            <w:tcW w:w="958" w:type="pct"/>
            <w:noWrap/>
            <w:vAlign w:val="center"/>
          </w:tcPr>
          <w:p w14:paraId="0889CBAE" w14:textId="524C7421"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-20.00%</w:t>
            </w:r>
          </w:p>
        </w:tc>
        <w:tc>
          <w:tcPr>
            <w:tcW w:w="677" w:type="pct"/>
            <w:gridSpan w:val="2"/>
            <w:noWrap/>
            <w:vAlign w:val="center"/>
          </w:tcPr>
          <w:p w14:paraId="2957950C" w14:textId="5A1002B5" w:rsidR="00D84083" w:rsidRDefault="00D84083" w:rsidP="00D84083">
            <w:pPr>
              <w:widowControl/>
              <w:jc w:val="right"/>
              <w:rPr>
                <w:rFonts w:ascii="宋体" w:hAnsi="宋体" w:hint="eastAsia"/>
                <w:color w:val="000000"/>
                <w:kern w:val="0"/>
                <w:szCs w:val="21"/>
              </w:rPr>
            </w:pPr>
          </w:p>
        </w:tc>
        <w:tc>
          <w:tcPr>
            <w:tcW w:w="747" w:type="pct"/>
            <w:gridSpan w:val="2"/>
            <w:vAlign w:val="center"/>
          </w:tcPr>
          <w:p w14:paraId="1FFDC81A" w14:textId="2394B35B"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-18.</w:t>
            </w:r>
            <w:r w:rsidR="004833D1" w:rsidRPr="00D84083">
              <w:rPr>
                <w:rFonts w:ascii="宋体" w:hAnsi="宋体"/>
                <w:color w:val="000000"/>
                <w:kern w:val="0"/>
                <w:szCs w:val="21"/>
              </w:rPr>
              <w:t>0</w:t>
            </w:r>
            <w:r w:rsidR="004833D1">
              <w:rPr>
                <w:rFonts w:ascii="宋体" w:hAnsi="宋体" w:hint="eastAsia"/>
                <w:color w:val="000000"/>
                <w:kern w:val="0"/>
                <w:szCs w:val="21"/>
              </w:rPr>
              <w:t>9</w:t>
            </w:r>
            <w:r w:rsidRPr="00D84083">
              <w:rPr>
                <w:rFonts w:ascii="宋体" w:hAnsi="宋体"/>
                <w:color w:val="000000"/>
                <w:kern w:val="0"/>
                <w:szCs w:val="21"/>
              </w:rPr>
              <w:t>%</w:t>
            </w:r>
          </w:p>
        </w:tc>
      </w:tr>
      <w:tr w:rsidR="00D84083" w14:paraId="01BFA66F" w14:textId="77777777" w:rsidTr="008E33E0">
        <w:trPr>
          <w:trHeight w:val="255"/>
          <w:jc w:val="center"/>
        </w:trPr>
        <w:tc>
          <w:tcPr>
            <w:tcW w:w="1666" w:type="pct"/>
            <w:vAlign w:val="center"/>
          </w:tcPr>
          <w:p w14:paraId="1980919C"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基本每股收益（元/股）</w:t>
            </w:r>
          </w:p>
        </w:tc>
        <w:tc>
          <w:tcPr>
            <w:tcW w:w="952" w:type="pct"/>
            <w:noWrap/>
            <w:vAlign w:val="center"/>
          </w:tcPr>
          <w:p w14:paraId="745EBA07" w14:textId="5BA967C3"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-1.11</w:t>
            </w:r>
          </w:p>
        </w:tc>
        <w:tc>
          <w:tcPr>
            <w:tcW w:w="958" w:type="pct"/>
            <w:noWrap/>
            <w:vAlign w:val="center"/>
          </w:tcPr>
          <w:p w14:paraId="71138CC3" w14:textId="1BCEDAE0"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-0.73</w:t>
            </w:r>
          </w:p>
        </w:tc>
        <w:tc>
          <w:tcPr>
            <w:tcW w:w="677" w:type="pct"/>
            <w:gridSpan w:val="2"/>
            <w:noWrap/>
            <w:vAlign w:val="center"/>
          </w:tcPr>
          <w:p w14:paraId="160BF62D" w14:textId="0C91ADCF"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-0.38</w:t>
            </w:r>
          </w:p>
        </w:tc>
        <w:tc>
          <w:tcPr>
            <w:tcW w:w="747" w:type="pct"/>
            <w:gridSpan w:val="2"/>
            <w:vAlign w:val="center"/>
          </w:tcPr>
          <w:p w14:paraId="63EFCE06" w14:textId="763E8256"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-52.05%</w:t>
            </w:r>
          </w:p>
        </w:tc>
      </w:tr>
      <w:tr w:rsidR="00D84083" w14:paraId="2D4A4ED0" w14:textId="77777777" w:rsidTr="008E33E0">
        <w:trPr>
          <w:trHeight w:val="255"/>
          <w:jc w:val="center"/>
        </w:trPr>
        <w:tc>
          <w:tcPr>
            <w:tcW w:w="1666" w:type="pct"/>
            <w:vAlign w:val="center"/>
          </w:tcPr>
          <w:p w14:paraId="3060932B"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基本每股收益（元/股）（扣除非经常性损益后）</w:t>
            </w:r>
          </w:p>
        </w:tc>
        <w:tc>
          <w:tcPr>
            <w:tcW w:w="952" w:type="pct"/>
            <w:noWrap/>
            <w:vAlign w:val="center"/>
          </w:tcPr>
          <w:p w14:paraId="03FA9DDC" w14:textId="42997A60"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 xml:space="preserve"> -1.03 </w:t>
            </w:r>
          </w:p>
        </w:tc>
        <w:tc>
          <w:tcPr>
            <w:tcW w:w="958" w:type="pct"/>
            <w:noWrap/>
            <w:vAlign w:val="center"/>
          </w:tcPr>
          <w:p w14:paraId="4086C51B" w14:textId="1F316C86"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-0.73</w:t>
            </w:r>
          </w:p>
        </w:tc>
        <w:tc>
          <w:tcPr>
            <w:tcW w:w="677" w:type="pct"/>
            <w:gridSpan w:val="2"/>
            <w:noWrap/>
            <w:vAlign w:val="center"/>
          </w:tcPr>
          <w:p w14:paraId="0D4481E4" w14:textId="65F27923"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-0.30</w:t>
            </w:r>
          </w:p>
        </w:tc>
        <w:tc>
          <w:tcPr>
            <w:tcW w:w="747" w:type="pct"/>
            <w:gridSpan w:val="2"/>
            <w:vAlign w:val="center"/>
          </w:tcPr>
          <w:p w14:paraId="1837BC95" w14:textId="7739E3E6"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-41.10%</w:t>
            </w:r>
          </w:p>
        </w:tc>
      </w:tr>
      <w:tr w:rsidR="003B35DC" w14:paraId="755A757C" w14:textId="77777777" w:rsidTr="008E33E0">
        <w:trPr>
          <w:trHeight w:val="255"/>
          <w:jc w:val="center"/>
        </w:trPr>
        <w:tc>
          <w:tcPr>
            <w:tcW w:w="1666" w:type="pct"/>
            <w:vMerge w:val="restart"/>
            <w:shd w:val="clear" w:color="000000" w:fill="D8D8D8"/>
            <w:noWrap/>
            <w:vAlign w:val="center"/>
          </w:tcPr>
          <w:p w14:paraId="16BE3B43" w14:textId="77777777" w:rsidR="003B35DC" w:rsidRDefault="00877547" w:rsidP="003A2116">
            <w:pPr>
              <w:widowControl/>
              <w:rPr>
                <w:rFonts w:ascii="宋体" w:hAnsi="宋体" w:hint="eastAsia"/>
                <w:color w:val="000000"/>
                <w:kern w:val="0"/>
                <w:szCs w:val="21"/>
              </w:rPr>
            </w:pPr>
            <w:r>
              <w:rPr>
                <w:rFonts w:ascii="宋体" w:hAnsi="宋体"/>
                <w:color w:val="000000"/>
                <w:kern w:val="0"/>
                <w:szCs w:val="21"/>
              </w:rPr>
              <w:t>项目</w:t>
            </w:r>
          </w:p>
        </w:tc>
        <w:tc>
          <w:tcPr>
            <w:tcW w:w="952" w:type="pct"/>
            <w:vMerge w:val="restart"/>
            <w:shd w:val="clear" w:color="000000" w:fill="D8D8D8"/>
            <w:noWrap/>
            <w:vAlign w:val="center"/>
          </w:tcPr>
          <w:p w14:paraId="1AF42793" w14:textId="1152B650" w:rsidR="003B35DC" w:rsidRDefault="00877547" w:rsidP="00D04333">
            <w:pPr>
              <w:widowControl/>
              <w:rPr>
                <w:rFonts w:ascii="宋体" w:hAnsi="宋体" w:hint="eastAsia"/>
                <w:color w:val="000000"/>
                <w:kern w:val="0"/>
                <w:szCs w:val="21"/>
              </w:rPr>
            </w:pPr>
            <w:r>
              <w:rPr>
                <w:rFonts w:ascii="宋体" w:hAnsi="宋体" w:hint="eastAsia"/>
                <w:color w:val="000000"/>
                <w:kern w:val="0"/>
                <w:szCs w:val="21"/>
              </w:rPr>
              <w:t>20</w:t>
            </w:r>
            <w:r>
              <w:rPr>
                <w:rFonts w:ascii="宋体" w:hAnsi="宋体"/>
                <w:color w:val="000000"/>
                <w:kern w:val="0"/>
                <w:szCs w:val="21"/>
              </w:rPr>
              <w:t>2</w:t>
            </w:r>
            <w:r w:rsidR="00E04F51">
              <w:rPr>
                <w:rFonts w:ascii="宋体" w:hAnsi="宋体" w:hint="eastAsia"/>
                <w:color w:val="000000"/>
                <w:kern w:val="0"/>
                <w:szCs w:val="21"/>
              </w:rPr>
              <w:t>5</w:t>
            </w:r>
            <w:r>
              <w:rPr>
                <w:rFonts w:ascii="宋体" w:hAnsi="宋体" w:hint="eastAsia"/>
                <w:color w:val="000000"/>
                <w:kern w:val="0"/>
                <w:szCs w:val="21"/>
              </w:rPr>
              <w:t>年12月31日</w:t>
            </w:r>
          </w:p>
        </w:tc>
        <w:tc>
          <w:tcPr>
            <w:tcW w:w="963" w:type="pct"/>
            <w:gridSpan w:val="2"/>
            <w:vMerge w:val="restart"/>
            <w:shd w:val="clear" w:color="000000" w:fill="D8D8D8"/>
            <w:noWrap/>
            <w:vAlign w:val="center"/>
          </w:tcPr>
          <w:p w14:paraId="239EE8A7" w14:textId="139C1DE2" w:rsidR="003B35DC" w:rsidRDefault="00877547" w:rsidP="00D04333">
            <w:pPr>
              <w:widowControl/>
              <w:rPr>
                <w:rFonts w:ascii="宋体" w:hAnsi="宋体" w:hint="eastAsia"/>
                <w:color w:val="000000"/>
                <w:kern w:val="0"/>
                <w:szCs w:val="21"/>
              </w:rPr>
            </w:pPr>
            <w:r>
              <w:rPr>
                <w:rFonts w:ascii="宋体" w:hAnsi="宋体"/>
                <w:color w:val="000000"/>
                <w:kern w:val="0"/>
                <w:szCs w:val="21"/>
              </w:rPr>
              <w:t>20</w:t>
            </w:r>
            <w:r w:rsidR="00084F58">
              <w:rPr>
                <w:rFonts w:ascii="宋体" w:hAnsi="宋体"/>
                <w:color w:val="000000"/>
                <w:kern w:val="0"/>
                <w:szCs w:val="21"/>
              </w:rPr>
              <w:t>2</w:t>
            </w:r>
            <w:r w:rsidR="00E04F51">
              <w:rPr>
                <w:rFonts w:ascii="宋体" w:hAnsi="宋体" w:hint="eastAsia"/>
                <w:color w:val="000000"/>
                <w:kern w:val="0"/>
                <w:szCs w:val="21"/>
              </w:rPr>
              <w:t>4</w:t>
            </w:r>
            <w:r>
              <w:rPr>
                <w:rFonts w:ascii="宋体" w:hAnsi="宋体"/>
                <w:color w:val="000000"/>
                <w:kern w:val="0"/>
                <w:szCs w:val="21"/>
              </w:rPr>
              <w:t>年12月31日</w:t>
            </w:r>
          </w:p>
        </w:tc>
        <w:tc>
          <w:tcPr>
            <w:tcW w:w="1419" w:type="pct"/>
            <w:gridSpan w:val="3"/>
            <w:shd w:val="clear" w:color="000000" w:fill="D8D8D8"/>
            <w:noWrap/>
            <w:vAlign w:val="center"/>
          </w:tcPr>
          <w:p w14:paraId="225015A1" w14:textId="77777777" w:rsidR="003B35DC" w:rsidRDefault="00877547" w:rsidP="002726D0">
            <w:pPr>
              <w:widowControl/>
              <w:jc w:val="center"/>
              <w:rPr>
                <w:rFonts w:ascii="宋体" w:hAnsi="宋体" w:hint="eastAsia"/>
                <w:color w:val="000000"/>
                <w:kern w:val="0"/>
                <w:szCs w:val="21"/>
              </w:rPr>
            </w:pPr>
            <w:r>
              <w:rPr>
                <w:rFonts w:ascii="宋体" w:hAnsi="宋体"/>
                <w:color w:val="000000"/>
                <w:kern w:val="0"/>
                <w:szCs w:val="21"/>
              </w:rPr>
              <w:t>与年初比</w:t>
            </w:r>
          </w:p>
        </w:tc>
      </w:tr>
      <w:tr w:rsidR="003B35DC" w14:paraId="1D363CD2" w14:textId="77777777" w:rsidTr="008E33E0">
        <w:trPr>
          <w:trHeight w:val="255"/>
          <w:jc w:val="center"/>
        </w:trPr>
        <w:tc>
          <w:tcPr>
            <w:tcW w:w="1666" w:type="pct"/>
            <w:vMerge/>
            <w:vAlign w:val="center"/>
          </w:tcPr>
          <w:p w14:paraId="2A5A1880" w14:textId="77777777" w:rsidR="003B35DC" w:rsidRDefault="003B35DC" w:rsidP="003A2116">
            <w:pPr>
              <w:widowControl/>
              <w:rPr>
                <w:rFonts w:ascii="宋体" w:hAnsi="宋体" w:hint="eastAsia"/>
                <w:color w:val="000000"/>
                <w:kern w:val="0"/>
                <w:szCs w:val="21"/>
              </w:rPr>
            </w:pPr>
          </w:p>
        </w:tc>
        <w:tc>
          <w:tcPr>
            <w:tcW w:w="952" w:type="pct"/>
            <w:vMerge/>
            <w:vAlign w:val="center"/>
          </w:tcPr>
          <w:p w14:paraId="5D6AA31E" w14:textId="77777777" w:rsidR="003B35DC" w:rsidRDefault="003B35DC" w:rsidP="003A2116">
            <w:pPr>
              <w:widowControl/>
              <w:rPr>
                <w:rFonts w:ascii="宋体" w:hAnsi="宋体" w:hint="eastAsia"/>
                <w:color w:val="000000"/>
                <w:kern w:val="0"/>
                <w:szCs w:val="21"/>
              </w:rPr>
            </w:pPr>
          </w:p>
        </w:tc>
        <w:tc>
          <w:tcPr>
            <w:tcW w:w="963" w:type="pct"/>
            <w:gridSpan w:val="2"/>
            <w:vMerge/>
            <w:vAlign w:val="center"/>
          </w:tcPr>
          <w:p w14:paraId="5F008DB6" w14:textId="77777777" w:rsidR="003B35DC" w:rsidRDefault="003B35DC" w:rsidP="003A2116">
            <w:pPr>
              <w:widowControl/>
              <w:rPr>
                <w:rFonts w:ascii="宋体" w:hAnsi="宋体" w:hint="eastAsia"/>
                <w:color w:val="000000"/>
                <w:kern w:val="0"/>
                <w:szCs w:val="21"/>
              </w:rPr>
            </w:pPr>
          </w:p>
        </w:tc>
        <w:tc>
          <w:tcPr>
            <w:tcW w:w="747" w:type="pct"/>
            <w:gridSpan w:val="2"/>
            <w:shd w:val="clear" w:color="000000" w:fill="D8D8D8"/>
            <w:vAlign w:val="center"/>
          </w:tcPr>
          <w:p w14:paraId="33497AD3" w14:textId="77777777" w:rsidR="003B35DC" w:rsidRDefault="00877547" w:rsidP="003A2116">
            <w:pPr>
              <w:widowControl/>
              <w:rPr>
                <w:rFonts w:ascii="宋体" w:hAnsi="宋体" w:hint="eastAsia"/>
                <w:color w:val="000000"/>
                <w:kern w:val="0"/>
                <w:szCs w:val="21"/>
              </w:rPr>
            </w:pPr>
            <w:r>
              <w:rPr>
                <w:rFonts w:ascii="宋体" w:hAnsi="宋体"/>
                <w:color w:val="000000"/>
                <w:kern w:val="0"/>
                <w:szCs w:val="21"/>
              </w:rPr>
              <w:t>增减金额</w:t>
            </w:r>
          </w:p>
        </w:tc>
        <w:tc>
          <w:tcPr>
            <w:tcW w:w="672" w:type="pct"/>
            <w:shd w:val="clear" w:color="000000" w:fill="D8D8D8"/>
            <w:vAlign w:val="center"/>
          </w:tcPr>
          <w:p w14:paraId="24F9C639" w14:textId="77777777" w:rsidR="003B35DC" w:rsidRDefault="00877547" w:rsidP="003A2116">
            <w:pPr>
              <w:widowControl/>
              <w:rPr>
                <w:rFonts w:ascii="宋体" w:hAnsi="宋体" w:hint="eastAsia"/>
                <w:color w:val="000000"/>
                <w:kern w:val="0"/>
                <w:szCs w:val="21"/>
              </w:rPr>
            </w:pPr>
            <w:r>
              <w:rPr>
                <w:rFonts w:ascii="宋体" w:hAnsi="宋体"/>
                <w:color w:val="000000"/>
                <w:kern w:val="0"/>
                <w:szCs w:val="21"/>
              </w:rPr>
              <w:t>同比增减率</w:t>
            </w:r>
          </w:p>
        </w:tc>
      </w:tr>
      <w:tr w:rsidR="00D84083" w14:paraId="2E6D2B20" w14:textId="77777777" w:rsidTr="008E33E0">
        <w:trPr>
          <w:trHeight w:val="255"/>
          <w:jc w:val="center"/>
        </w:trPr>
        <w:tc>
          <w:tcPr>
            <w:tcW w:w="1666" w:type="pct"/>
            <w:noWrap/>
            <w:vAlign w:val="center"/>
          </w:tcPr>
          <w:p w14:paraId="44C7FC09"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总资产</w:t>
            </w:r>
          </w:p>
        </w:tc>
        <w:tc>
          <w:tcPr>
            <w:tcW w:w="952" w:type="pct"/>
            <w:noWrap/>
            <w:vAlign w:val="center"/>
          </w:tcPr>
          <w:p w14:paraId="471CC481" w14:textId="07D80FA0"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990,762.79</w:t>
            </w:r>
          </w:p>
        </w:tc>
        <w:tc>
          <w:tcPr>
            <w:tcW w:w="963" w:type="pct"/>
            <w:gridSpan w:val="2"/>
            <w:noWrap/>
            <w:vAlign w:val="center"/>
          </w:tcPr>
          <w:p w14:paraId="35AB5D89" w14:textId="43A53F18"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1,127,847.94</w:t>
            </w:r>
          </w:p>
        </w:tc>
        <w:tc>
          <w:tcPr>
            <w:tcW w:w="747" w:type="pct"/>
            <w:gridSpan w:val="2"/>
            <w:noWrap/>
            <w:vAlign w:val="center"/>
          </w:tcPr>
          <w:p w14:paraId="0A300DFD" w14:textId="7F2676A9"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-137,085.15</w:t>
            </w:r>
          </w:p>
        </w:tc>
        <w:tc>
          <w:tcPr>
            <w:tcW w:w="672" w:type="pct"/>
            <w:vAlign w:val="center"/>
          </w:tcPr>
          <w:p w14:paraId="709565BE" w14:textId="6B11BF27"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-12.15%</w:t>
            </w:r>
          </w:p>
        </w:tc>
      </w:tr>
      <w:tr w:rsidR="00D84083" w14:paraId="1C4C8CAC" w14:textId="77777777" w:rsidTr="008E33E0">
        <w:trPr>
          <w:trHeight w:val="255"/>
          <w:jc w:val="center"/>
        </w:trPr>
        <w:tc>
          <w:tcPr>
            <w:tcW w:w="1666" w:type="pct"/>
            <w:noWrap/>
            <w:vAlign w:val="center"/>
          </w:tcPr>
          <w:p w14:paraId="2D1C4344"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总负债</w:t>
            </w:r>
          </w:p>
        </w:tc>
        <w:tc>
          <w:tcPr>
            <w:tcW w:w="952" w:type="pct"/>
            <w:noWrap/>
            <w:vAlign w:val="center"/>
          </w:tcPr>
          <w:p w14:paraId="304D5CF9" w14:textId="688B2D81"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708,564.61</w:t>
            </w:r>
          </w:p>
        </w:tc>
        <w:tc>
          <w:tcPr>
            <w:tcW w:w="963" w:type="pct"/>
            <w:gridSpan w:val="2"/>
            <w:noWrap/>
            <w:vAlign w:val="center"/>
          </w:tcPr>
          <w:p w14:paraId="22F48B0F" w14:textId="2A8CB81E"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712,758.96</w:t>
            </w:r>
          </w:p>
        </w:tc>
        <w:tc>
          <w:tcPr>
            <w:tcW w:w="747" w:type="pct"/>
            <w:gridSpan w:val="2"/>
            <w:noWrap/>
            <w:vAlign w:val="center"/>
          </w:tcPr>
          <w:p w14:paraId="1A8786AF" w14:textId="152B933E"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-4,194.35</w:t>
            </w:r>
          </w:p>
        </w:tc>
        <w:tc>
          <w:tcPr>
            <w:tcW w:w="672" w:type="pct"/>
            <w:vAlign w:val="center"/>
          </w:tcPr>
          <w:p w14:paraId="5C469EF2" w14:textId="314CD6B4"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-0.59%</w:t>
            </w:r>
          </w:p>
        </w:tc>
      </w:tr>
      <w:tr w:rsidR="00D84083" w14:paraId="1043087A" w14:textId="77777777" w:rsidTr="008E33E0">
        <w:trPr>
          <w:trHeight w:val="255"/>
          <w:jc w:val="center"/>
        </w:trPr>
        <w:tc>
          <w:tcPr>
            <w:tcW w:w="1666" w:type="pct"/>
            <w:vAlign w:val="center"/>
          </w:tcPr>
          <w:p w14:paraId="3FBD6565"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t>归属于上市公司股东的权益</w:t>
            </w:r>
          </w:p>
        </w:tc>
        <w:tc>
          <w:tcPr>
            <w:tcW w:w="952" w:type="pct"/>
            <w:noWrap/>
            <w:vAlign w:val="center"/>
          </w:tcPr>
          <w:p w14:paraId="5FE7B565" w14:textId="781DB98A"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237,610.64</w:t>
            </w:r>
          </w:p>
        </w:tc>
        <w:tc>
          <w:tcPr>
            <w:tcW w:w="963" w:type="pct"/>
            <w:gridSpan w:val="2"/>
            <w:noWrap/>
            <w:vAlign w:val="center"/>
          </w:tcPr>
          <w:p w14:paraId="5726DE7F" w14:textId="3AC25245"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359,985.02</w:t>
            </w:r>
          </w:p>
        </w:tc>
        <w:tc>
          <w:tcPr>
            <w:tcW w:w="747" w:type="pct"/>
            <w:gridSpan w:val="2"/>
            <w:noWrap/>
            <w:vAlign w:val="center"/>
          </w:tcPr>
          <w:p w14:paraId="0932A32E" w14:textId="2AA78A27"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-122,374.38</w:t>
            </w:r>
          </w:p>
        </w:tc>
        <w:tc>
          <w:tcPr>
            <w:tcW w:w="672" w:type="pct"/>
            <w:vAlign w:val="center"/>
          </w:tcPr>
          <w:p w14:paraId="76AAC48B" w14:textId="5AA00EAF"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-33.99%</w:t>
            </w:r>
          </w:p>
        </w:tc>
      </w:tr>
      <w:tr w:rsidR="00D84083" w14:paraId="77C9B1AA" w14:textId="77777777" w:rsidTr="008E33E0">
        <w:trPr>
          <w:trHeight w:val="255"/>
          <w:jc w:val="center"/>
        </w:trPr>
        <w:tc>
          <w:tcPr>
            <w:tcW w:w="1666" w:type="pct"/>
            <w:vAlign w:val="center"/>
          </w:tcPr>
          <w:p w14:paraId="76A8ED16" w14:textId="77777777" w:rsidR="00D84083" w:rsidRDefault="00D84083" w:rsidP="00D84083">
            <w:pPr>
              <w:widowControl/>
              <w:rPr>
                <w:rFonts w:ascii="宋体" w:hAnsi="宋体" w:hint="eastAsia"/>
                <w:color w:val="000000"/>
                <w:kern w:val="0"/>
                <w:szCs w:val="21"/>
              </w:rPr>
            </w:pPr>
            <w:r>
              <w:rPr>
                <w:rFonts w:ascii="宋体" w:hAnsi="宋体"/>
                <w:color w:val="000000"/>
                <w:kern w:val="0"/>
                <w:szCs w:val="21"/>
              </w:rPr>
              <w:lastRenderedPageBreak/>
              <w:t>每股净资产(元/股)</w:t>
            </w:r>
          </w:p>
        </w:tc>
        <w:tc>
          <w:tcPr>
            <w:tcW w:w="952" w:type="pct"/>
            <w:vAlign w:val="center"/>
          </w:tcPr>
          <w:p w14:paraId="499C4ABF" w14:textId="0A410C40"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2.15</w:t>
            </w:r>
          </w:p>
        </w:tc>
        <w:tc>
          <w:tcPr>
            <w:tcW w:w="963" w:type="pct"/>
            <w:gridSpan w:val="2"/>
            <w:vAlign w:val="center"/>
          </w:tcPr>
          <w:p w14:paraId="0BEC4EA4" w14:textId="49962EF2"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3.26</w:t>
            </w:r>
          </w:p>
        </w:tc>
        <w:tc>
          <w:tcPr>
            <w:tcW w:w="747" w:type="pct"/>
            <w:gridSpan w:val="2"/>
            <w:noWrap/>
            <w:vAlign w:val="center"/>
          </w:tcPr>
          <w:p w14:paraId="0391A779" w14:textId="41CA46C8"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-1.11</w:t>
            </w:r>
          </w:p>
        </w:tc>
        <w:tc>
          <w:tcPr>
            <w:tcW w:w="672" w:type="pct"/>
            <w:vAlign w:val="center"/>
          </w:tcPr>
          <w:p w14:paraId="05D281C9" w14:textId="0CBAD56A" w:rsidR="00D84083" w:rsidRDefault="00D84083" w:rsidP="00D84083">
            <w:pPr>
              <w:widowControl/>
              <w:jc w:val="right"/>
              <w:rPr>
                <w:rFonts w:ascii="宋体" w:hAnsi="宋体" w:hint="eastAsia"/>
                <w:color w:val="000000"/>
                <w:kern w:val="0"/>
                <w:szCs w:val="21"/>
              </w:rPr>
            </w:pPr>
            <w:r w:rsidRPr="00D84083">
              <w:rPr>
                <w:rFonts w:ascii="宋体" w:hAnsi="宋体"/>
                <w:color w:val="000000"/>
                <w:kern w:val="0"/>
                <w:szCs w:val="21"/>
              </w:rPr>
              <w:t>-34.05%</w:t>
            </w:r>
          </w:p>
        </w:tc>
      </w:tr>
    </w:tbl>
    <w:p w14:paraId="0FB1C910" w14:textId="77777777"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二、财务状况、经营成果和现金流量情况分析</w:t>
      </w:r>
    </w:p>
    <w:p w14:paraId="327B197E" w14:textId="77777777"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1、资产负债表变化较大的主要项目分析</w:t>
      </w:r>
    </w:p>
    <w:p w14:paraId="378DD6D5" w14:textId="77777777" w:rsidR="003B35DC" w:rsidRDefault="00877547" w:rsidP="00783179">
      <w:pPr>
        <w:pStyle w:val="Default"/>
        <w:spacing w:beforeLines="50" w:before="156" w:afterLines="50" w:after="156" w:line="420" w:lineRule="exact"/>
        <w:ind w:firstLine="420"/>
        <w:jc w:val="right"/>
        <w:rPr>
          <w:rFonts w:hAnsi="宋体" w:cs="Times New Roman" w:hint="eastAsia"/>
        </w:rPr>
      </w:pPr>
      <w:r>
        <w:rPr>
          <w:rFonts w:hAnsi="宋体" w:cs="Times New Roman"/>
        </w:rPr>
        <w:t>单位：人民币万元</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3"/>
        <w:gridCol w:w="1779"/>
        <w:gridCol w:w="1776"/>
        <w:gridCol w:w="1056"/>
        <w:gridCol w:w="1266"/>
      </w:tblGrid>
      <w:tr w:rsidR="00084F58" w14:paraId="37774466" w14:textId="77777777" w:rsidTr="003A5CA5">
        <w:trPr>
          <w:trHeight w:val="285"/>
        </w:trPr>
        <w:tc>
          <w:tcPr>
            <w:tcW w:w="1416" w:type="pct"/>
            <w:shd w:val="clear" w:color="auto" w:fill="D9D9D9" w:themeFill="background1" w:themeFillShade="D9"/>
            <w:vAlign w:val="center"/>
          </w:tcPr>
          <w:p w14:paraId="57777DF9" w14:textId="77777777" w:rsidR="00084F58" w:rsidRDefault="00084F58" w:rsidP="003A2116">
            <w:pPr>
              <w:widowControl/>
              <w:rPr>
                <w:rFonts w:ascii="宋体" w:hAnsi="宋体" w:hint="eastAsia"/>
                <w:bCs/>
                <w:color w:val="000000"/>
                <w:kern w:val="0"/>
                <w:szCs w:val="21"/>
              </w:rPr>
            </w:pPr>
            <w:r>
              <w:rPr>
                <w:rFonts w:ascii="宋体" w:hAnsi="宋体"/>
                <w:bCs/>
                <w:color w:val="000000"/>
                <w:kern w:val="0"/>
                <w:szCs w:val="21"/>
              </w:rPr>
              <w:t>项  目</w:t>
            </w:r>
          </w:p>
        </w:tc>
        <w:tc>
          <w:tcPr>
            <w:tcW w:w="1085" w:type="pct"/>
            <w:shd w:val="clear" w:color="auto" w:fill="D9D9D9" w:themeFill="background1" w:themeFillShade="D9"/>
            <w:vAlign w:val="center"/>
          </w:tcPr>
          <w:p w14:paraId="1E289612" w14:textId="0087AA40" w:rsidR="00084F58" w:rsidRDefault="00084F58" w:rsidP="00D04333">
            <w:pPr>
              <w:widowControl/>
              <w:rPr>
                <w:rFonts w:ascii="宋体" w:hAnsi="宋体" w:hint="eastAsia"/>
                <w:bCs/>
                <w:color w:val="000000"/>
                <w:kern w:val="0"/>
                <w:szCs w:val="21"/>
              </w:rPr>
            </w:pPr>
            <w:r>
              <w:rPr>
                <w:rFonts w:ascii="宋体" w:hAnsi="宋体" w:hint="eastAsia"/>
                <w:color w:val="000000"/>
                <w:kern w:val="0"/>
                <w:szCs w:val="21"/>
              </w:rPr>
              <w:t>20</w:t>
            </w:r>
            <w:r>
              <w:rPr>
                <w:rFonts w:ascii="宋体" w:hAnsi="宋体"/>
                <w:color w:val="000000"/>
                <w:kern w:val="0"/>
                <w:szCs w:val="21"/>
              </w:rPr>
              <w:t>2</w:t>
            </w:r>
            <w:r w:rsidR="00E04F51">
              <w:rPr>
                <w:rFonts w:ascii="宋体" w:hAnsi="宋体" w:hint="eastAsia"/>
                <w:color w:val="000000"/>
                <w:kern w:val="0"/>
                <w:szCs w:val="21"/>
              </w:rPr>
              <w:t>5</w:t>
            </w:r>
            <w:r>
              <w:rPr>
                <w:rFonts w:ascii="宋体" w:hAnsi="宋体" w:hint="eastAsia"/>
                <w:color w:val="000000"/>
                <w:kern w:val="0"/>
                <w:szCs w:val="21"/>
              </w:rPr>
              <w:t>年12月31日</w:t>
            </w:r>
          </w:p>
        </w:tc>
        <w:tc>
          <w:tcPr>
            <w:tcW w:w="1083" w:type="pct"/>
            <w:shd w:val="clear" w:color="auto" w:fill="D9D9D9" w:themeFill="background1" w:themeFillShade="D9"/>
            <w:vAlign w:val="center"/>
          </w:tcPr>
          <w:p w14:paraId="1611F780" w14:textId="2B4101DD" w:rsidR="00084F58" w:rsidRDefault="00084F58" w:rsidP="00D04333">
            <w:pPr>
              <w:widowControl/>
              <w:rPr>
                <w:rFonts w:ascii="宋体" w:hAnsi="宋体" w:hint="eastAsia"/>
                <w:bCs/>
                <w:color w:val="000000"/>
                <w:kern w:val="0"/>
                <w:szCs w:val="21"/>
              </w:rPr>
            </w:pPr>
            <w:r>
              <w:rPr>
                <w:rFonts w:ascii="宋体" w:hAnsi="宋体"/>
                <w:color w:val="000000"/>
                <w:kern w:val="0"/>
                <w:szCs w:val="21"/>
              </w:rPr>
              <w:t>202</w:t>
            </w:r>
            <w:r w:rsidR="00E04F51">
              <w:rPr>
                <w:rFonts w:ascii="宋体" w:hAnsi="宋体" w:hint="eastAsia"/>
                <w:color w:val="000000"/>
                <w:kern w:val="0"/>
                <w:szCs w:val="21"/>
              </w:rPr>
              <w:t>4</w:t>
            </w:r>
            <w:r>
              <w:rPr>
                <w:rFonts w:ascii="宋体" w:hAnsi="宋体"/>
                <w:color w:val="000000"/>
                <w:kern w:val="0"/>
                <w:szCs w:val="21"/>
              </w:rPr>
              <w:t>年12月31日</w:t>
            </w:r>
          </w:p>
        </w:tc>
        <w:tc>
          <w:tcPr>
            <w:tcW w:w="644" w:type="pct"/>
            <w:shd w:val="clear" w:color="auto" w:fill="D9D9D9" w:themeFill="background1" w:themeFillShade="D9"/>
            <w:noWrap/>
            <w:vAlign w:val="center"/>
          </w:tcPr>
          <w:p w14:paraId="4A509D80" w14:textId="77777777" w:rsidR="00084F58" w:rsidRDefault="00084F58" w:rsidP="003A2116">
            <w:pPr>
              <w:widowControl/>
              <w:rPr>
                <w:rFonts w:ascii="宋体" w:hAnsi="宋体" w:hint="eastAsia"/>
                <w:bCs/>
                <w:color w:val="000000"/>
                <w:kern w:val="0"/>
                <w:szCs w:val="21"/>
              </w:rPr>
            </w:pPr>
            <w:r>
              <w:rPr>
                <w:rFonts w:ascii="宋体" w:hAnsi="宋体"/>
                <w:color w:val="000000"/>
                <w:kern w:val="0"/>
                <w:szCs w:val="21"/>
              </w:rPr>
              <w:t>增减金额</w:t>
            </w:r>
          </w:p>
        </w:tc>
        <w:tc>
          <w:tcPr>
            <w:tcW w:w="772" w:type="pct"/>
            <w:shd w:val="clear" w:color="auto" w:fill="D9D9D9" w:themeFill="background1" w:themeFillShade="D9"/>
            <w:noWrap/>
            <w:vAlign w:val="center"/>
          </w:tcPr>
          <w:p w14:paraId="11B71397" w14:textId="77777777" w:rsidR="00084F58" w:rsidRDefault="00084F58" w:rsidP="003A2116">
            <w:pPr>
              <w:widowControl/>
              <w:rPr>
                <w:rFonts w:ascii="宋体" w:hAnsi="宋体" w:hint="eastAsia"/>
                <w:bCs/>
                <w:color w:val="000000"/>
                <w:kern w:val="0"/>
                <w:szCs w:val="21"/>
              </w:rPr>
            </w:pPr>
            <w:r>
              <w:rPr>
                <w:rFonts w:ascii="宋体" w:hAnsi="宋体"/>
                <w:color w:val="000000"/>
                <w:kern w:val="0"/>
                <w:szCs w:val="21"/>
              </w:rPr>
              <w:t>同比增减率</w:t>
            </w:r>
          </w:p>
        </w:tc>
      </w:tr>
      <w:tr w:rsidR="00C07797" w14:paraId="2783C089" w14:textId="77777777" w:rsidTr="003A5CA5">
        <w:trPr>
          <w:trHeight w:val="285"/>
        </w:trPr>
        <w:tc>
          <w:tcPr>
            <w:tcW w:w="1416" w:type="pct"/>
            <w:vAlign w:val="center"/>
          </w:tcPr>
          <w:p w14:paraId="7587CDE6" w14:textId="7096EF89" w:rsidR="00C07797" w:rsidRPr="00084F58" w:rsidRDefault="00C07797" w:rsidP="00C07797">
            <w:pPr>
              <w:widowControl/>
              <w:rPr>
                <w:rFonts w:ascii="宋体" w:hAnsi="宋体" w:hint="eastAsia"/>
                <w:color w:val="000000"/>
                <w:kern w:val="0"/>
                <w:szCs w:val="21"/>
              </w:rPr>
            </w:pPr>
            <w:r>
              <w:rPr>
                <w:color w:val="000000"/>
                <w:szCs w:val="21"/>
              </w:rPr>
              <w:t>应收票据</w:t>
            </w:r>
          </w:p>
        </w:tc>
        <w:tc>
          <w:tcPr>
            <w:tcW w:w="1085" w:type="pct"/>
            <w:noWrap/>
            <w:vAlign w:val="center"/>
          </w:tcPr>
          <w:p w14:paraId="75F2F061" w14:textId="60E6A5D8"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6,416 </w:t>
            </w:r>
          </w:p>
        </w:tc>
        <w:tc>
          <w:tcPr>
            <w:tcW w:w="1083" w:type="pct"/>
            <w:noWrap/>
            <w:vAlign w:val="center"/>
          </w:tcPr>
          <w:p w14:paraId="03FCB4F3" w14:textId="297F24B5"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3,690 </w:t>
            </w:r>
          </w:p>
        </w:tc>
        <w:tc>
          <w:tcPr>
            <w:tcW w:w="644" w:type="pct"/>
            <w:vAlign w:val="center"/>
          </w:tcPr>
          <w:p w14:paraId="10B67D8F" w14:textId="34D2BFBB"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2,726 </w:t>
            </w:r>
          </w:p>
        </w:tc>
        <w:tc>
          <w:tcPr>
            <w:tcW w:w="772" w:type="pct"/>
            <w:vAlign w:val="center"/>
          </w:tcPr>
          <w:p w14:paraId="43FBA207" w14:textId="189EB9E0"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73.88%</w:t>
            </w:r>
          </w:p>
        </w:tc>
      </w:tr>
      <w:tr w:rsidR="00C07797" w14:paraId="71A0C5E7" w14:textId="77777777" w:rsidTr="003A5CA5">
        <w:trPr>
          <w:trHeight w:val="285"/>
        </w:trPr>
        <w:tc>
          <w:tcPr>
            <w:tcW w:w="1416" w:type="pct"/>
            <w:vAlign w:val="center"/>
          </w:tcPr>
          <w:p w14:paraId="047E0105" w14:textId="13879500" w:rsidR="00C07797" w:rsidRPr="00084F58" w:rsidRDefault="00C07797" w:rsidP="00C07797">
            <w:pPr>
              <w:widowControl/>
              <w:rPr>
                <w:rFonts w:ascii="宋体" w:hAnsi="宋体" w:hint="eastAsia"/>
                <w:color w:val="000000"/>
                <w:kern w:val="0"/>
                <w:szCs w:val="21"/>
              </w:rPr>
            </w:pPr>
            <w:r>
              <w:rPr>
                <w:color w:val="000000"/>
                <w:szCs w:val="21"/>
              </w:rPr>
              <w:t>合同资产</w:t>
            </w:r>
          </w:p>
        </w:tc>
        <w:tc>
          <w:tcPr>
            <w:tcW w:w="1085" w:type="pct"/>
            <w:noWrap/>
            <w:vAlign w:val="center"/>
          </w:tcPr>
          <w:p w14:paraId="70F9C799" w14:textId="65E633BB"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   </w:t>
            </w:r>
          </w:p>
        </w:tc>
        <w:tc>
          <w:tcPr>
            <w:tcW w:w="1083" w:type="pct"/>
            <w:noWrap/>
            <w:vAlign w:val="center"/>
          </w:tcPr>
          <w:p w14:paraId="396B2DEC" w14:textId="1205EC1B"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3,045 </w:t>
            </w:r>
          </w:p>
        </w:tc>
        <w:tc>
          <w:tcPr>
            <w:tcW w:w="644" w:type="pct"/>
            <w:vAlign w:val="center"/>
          </w:tcPr>
          <w:p w14:paraId="5FCD7B98" w14:textId="07D0C108"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-3,045 </w:t>
            </w:r>
          </w:p>
        </w:tc>
        <w:tc>
          <w:tcPr>
            <w:tcW w:w="772" w:type="pct"/>
            <w:vAlign w:val="center"/>
          </w:tcPr>
          <w:p w14:paraId="690B4D49" w14:textId="3D29D55F"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-100.00%</w:t>
            </w:r>
          </w:p>
        </w:tc>
      </w:tr>
      <w:tr w:rsidR="00C07797" w14:paraId="6DBDAF52" w14:textId="77777777" w:rsidTr="003A5CA5">
        <w:trPr>
          <w:trHeight w:val="285"/>
        </w:trPr>
        <w:tc>
          <w:tcPr>
            <w:tcW w:w="1416" w:type="pct"/>
            <w:vAlign w:val="center"/>
          </w:tcPr>
          <w:p w14:paraId="1F5D99A3" w14:textId="6DCE1AF1" w:rsidR="00C07797" w:rsidRPr="00084F58" w:rsidRDefault="00C07797" w:rsidP="00C07797">
            <w:pPr>
              <w:widowControl/>
              <w:rPr>
                <w:rFonts w:ascii="宋体" w:hAnsi="宋体" w:hint="eastAsia"/>
                <w:color w:val="000000"/>
                <w:kern w:val="0"/>
                <w:szCs w:val="21"/>
              </w:rPr>
            </w:pPr>
            <w:r>
              <w:rPr>
                <w:color w:val="000000"/>
                <w:szCs w:val="21"/>
              </w:rPr>
              <w:t>一年内到期的非流动资产</w:t>
            </w:r>
          </w:p>
        </w:tc>
        <w:tc>
          <w:tcPr>
            <w:tcW w:w="1085" w:type="pct"/>
            <w:noWrap/>
            <w:vAlign w:val="center"/>
          </w:tcPr>
          <w:p w14:paraId="64DBC559" w14:textId="4D3A3EC3"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916 </w:t>
            </w:r>
          </w:p>
        </w:tc>
        <w:tc>
          <w:tcPr>
            <w:tcW w:w="1083" w:type="pct"/>
            <w:noWrap/>
            <w:vAlign w:val="center"/>
          </w:tcPr>
          <w:p w14:paraId="5E2EDDF1" w14:textId="1DA490FD"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2,660 </w:t>
            </w:r>
          </w:p>
        </w:tc>
        <w:tc>
          <w:tcPr>
            <w:tcW w:w="644" w:type="pct"/>
            <w:vAlign w:val="center"/>
          </w:tcPr>
          <w:p w14:paraId="470554FF" w14:textId="34ECF9A7"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-1,744 </w:t>
            </w:r>
          </w:p>
        </w:tc>
        <w:tc>
          <w:tcPr>
            <w:tcW w:w="772" w:type="pct"/>
            <w:vAlign w:val="center"/>
          </w:tcPr>
          <w:p w14:paraId="329A8A70" w14:textId="611B217B"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-65.56%</w:t>
            </w:r>
          </w:p>
        </w:tc>
      </w:tr>
      <w:tr w:rsidR="00C07797" w14:paraId="146928DF" w14:textId="77777777" w:rsidTr="003A5CA5">
        <w:trPr>
          <w:trHeight w:val="285"/>
        </w:trPr>
        <w:tc>
          <w:tcPr>
            <w:tcW w:w="1416" w:type="pct"/>
            <w:vAlign w:val="center"/>
          </w:tcPr>
          <w:p w14:paraId="20FBC551" w14:textId="0B9E98F0" w:rsidR="00C07797" w:rsidRPr="00084F58" w:rsidRDefault="00C07797" w:rsidP="00C07797">
            <w:pPr>
              <w:widowControl/>
              <w:rPr>
                <w:rFonts w:ascii="宋体" w:hAnsi="宋体" w:hint="eastAsia"/>
                <w:color w:val="000000"/>
                <w:kern w:val="0"/>
                <w:szCs w:val="21"/>
              </w:rPr>
            </w:pPr>
            <w:r>
              <w:rPr>
                <w:rFonts w:hint="eastAsia"/>
                <w:color w:val="000000"/>
                <w:szCs w:val="21"/>
              </w:rPr>
              <w:t>在建工程</w:t>
            </w:r>
          </w:p>
        </w:tc>
        <w:tc>
          <w:tcPr>
            <w:tcW w:w="1085" w:type="pct"/>
            <w:noWrap/>
            <w:vAlign w:val="center"/>
          </w:tcPr>
          <w:p w14:paraId="75CD76E2" w14:textId="02BAA19D"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1,531 </w:t>
            </w:r>
          </w:p>
        </w:tc>
        <w:tc>
          <w:tcPr>
            <w:tcW w:w="1083" w:type="pct"/>
            <w:noWrap/>
            <w:vAlign w:val="center"/>
          </w:tcPr>
          <w:p w14:paraId="6656C0B9" w14:textId="61E6A9CF"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3,040 </w:t>
            </w:r>
          </w:p>
        </w:tc>
        <w:tc>
          <w:tcPr>
            <w:tcW w:w="644" w:type="pct"/>
            <w:vAlign w:val="center"/>
          </w:tcPr>
          <w:p w14:paraId="292C6687" w14:textId="3FA9E644"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-1,509 </w:t>
            </w:r>
          </w:p>
        </w:tc>
        <w:tc>
          <w:tcPr>
            <w:tcW w:w="772" w:type="pct"/>
            <w:vAlign w:val="center"/>
          </w:tcPr>
          <w:p w14:paraId="27662369" w14:textId="64609075"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-49.64%</w:t>
            </w:r>
          </w:p>
        </w:tc>
      </w:tr>
      <w:tr w:rsidR="00C07797" w14:paraId="3ADF09CF" w14:textId="77777777" w:rsidTr="003A5CA5">
        <w:trPr>
          <w:trHeight w:val="285"/>
        </w:trPr>
        <w:tc>
          <w:tcPr>
            <w:tcW w:w="1416" w:type="pct"/>
            <w:vAlign w:val="center"/>
          </w:tcPr>
          <w:p w14:paraId="0BD1AD25" w14:textId="51661598" w:rsidR="00C07797" w:rsidRPr="00084F58" w:rsidRDefault="00C07797" w:rsidP="00C07797">
            <w:pPr>
              <w:widowControl/>
              <w:rPr>
                <w:rFonts w:ascii="宋体" w:hAnsi="宋体" w:hint="eastAsia"/>
                <w:color w:val="000000"/>
                <w:kern w:val="0"/>
                <w:szCs w:val="21"/>
              </w:rPr>
            </w:pPr>
            <w:r>
              <w:rPr>
                <w:color w:val="000000"/>
                <w:szCs w:val="21"/>
              </w:rPr>
              <w:t>商誉</w:t>
            </w:r>
          </w:p>
        </w:tc>
        <w:tc>
          <w:tcPr>
            <w:tcW w:w="1085" w:type="pct"/>
            <w:noWrap/>
            <w:vAlign w:val="center"/>
          </w:tcPr>
          <w:p w14:paraId="05EC245C" w14:textId="054603D0"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37,800 </w:t>
            </w:r>
          </w:p>
        </w:tc>
        <w:tc>
          <w:tcPr>
            <w:tcW w:w="1083" w:type="pct"/>
            <w:noWrap/>
            <w:vAlign w:val="center"/>
          </w:tcPr>
          <w:p w14:paraId="4F3B8E93" w14:textId="0DB7F5C6"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68,355 </w:t>
            </w:r>
          </w:p>
        </w:tc>
        <w:tc>
          <w:tcPr>
            <w:tcW w:w="644" w:type="pct"/>
            <w:vAlign w:val="center"/>
          </w:tcPr>
          <w:p w14:paraId="3AD97D3C" w14:textId="25FC2FA9"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-30,555 </w:t>
            </w:r>
          </w:p>
        </w:tc>
        <w:tc>
          <w:tcPr>
            <w:tcW w:w="772" w:type="pct"/>
            <w:vAlign w:val="center"/>
          </w:tcPr>
          <w:p w14:paraId="44A64CD9" w14:textId="30DE02F1"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-44.70%</w:t>
            </w:r>
          </w:p>
        </w:tc>
      </w:tr>
      <w:tr w:rsidR="00C07797" w14:paraId="0103C231" w14:textId="77777777" w:rsidTr="003A5CA5">
        <w:trPr>
          <w:trHeight w:val="285"/>
        </w:trPr>
        <w:tc>
          <w:tcPr>
            <w:tcW w:w="1416" w:type="pct"/>
            <w:vAlign w:val="center"/>
          </w:tcPr>
          <w:p w14:paraId="19881009" w14:textId="34F24F93" w:rsidR="00C07797" w:rsidRPr="00084F58" w:rsidRDefault="00C07797" w:rsidP="00C07797">
            <w:pPr>
              <w:widowControl/>
              <w:rPr>
                <w:rFonts w:ascii="宋体" w:hAnsi="宋体" w:hint="eastAsia"/>
                <w:color w:val="000000"/>
                <w:kern w:val="0"/>
                <w:szCs w:val="21"/>
              </w:rPr>
            </w:pPr>
            <w:r>
              <w:rPr>
                <w:rFonts w:hint="eastAsia"/>
                <w:color w:val="000000"/>
                <w:szCs w:val="21"/>
              </w:rPr>
              <w:t>短期借款</w:t>
            </w:r>
          </w:p>
        </w:tc>
        <w:tc>
          <w:tcPr>
            <w:tcW w:w="1085" w:type="pct"/>
            <w:noWrap/>
            <w:vAlign w:val="center"/>
          </w:tcPr>
          <w:p w14:paraId="13DBE7D6" w14:textId="02DDAC13"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164,873 </w:t>
            </w:r>
          </w:p>
        </w:tc>
        <w:tc>
          <w:tcPr>
            <w:tcW w:w="1083" w:type="pct"/>
            <w:noWrap/>
            <w:vAlign w:val="center"/>
          </w:tcPr>
          <w:p w14:paraId="7659C9EA" w14:textId="7B8877CA"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119,701 </w:t>
            </w:r>
          </w:p>
        </w:tc>
        <w:tc>
          <w:tcPr>
            <w:tcW w:w="644" w:type="pct"/>
            <w:vAlign w:val="center"/>
          </w:tcPr>
          <w:p w14:paraId="6DA419A8" w14:textId="695C3B5E"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45,172 </w:t>
            </w:r>
          </w:p>
        </w:tc>
        <w:tc>
          <w:tcPr>
            <w:tcW w:w="772" w:type="pct"/>
            <w:vAlign w:val="center"/>
          </w:tcPr>
          <w:p w14:paraId="4B79216A" w14:textId="49D37D0E" w:rsidR="00C07797" w:rsidRPr="00084F58"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37.74%</w:t>
            </w:r>
          </w:p>
        </w:tc>
      </w:tr>
      <w:tr w:rsidR="004833D1" w14:paraId="2A3189BB" w14:textId="77777777" w:rsidTr="003A5CA5">
        <w:trPr>
          <w:trHeight w:val="285"/>
        </w:trPr>
        <w:tc>
          <w:tcPr>
            <w:tcW w:w="1416" w:type="pct"/>
            <w:vAlign w:val="center"/>
          </w:tcPr>
          <w:p w14:paraId="1336A4A8" w14:textId="7A3A457A" w:rsidR="004833D1" w:rsidRDefault="004833D1" w:rsidP="004833D1">
            <w:pPr>
              <w:widowControl/>
              <w:rPr>
                <w:color w:val="000000"/>
                <w:szCs w:val="21"/>
              </w:rPr>
            </w:pPr>
            <w:r w:rsidRPr="004833D1">
              <w:rPr>
                <w:rFonts w:hint="eastAsia"/>
                <w:color w:val="000000"/>
                <w:szCs w:val="21"/>
              </w:rPr>
              <w:t>其他应付款</w:t>
            </w:r>
          </w:p>
        </w:tc>
        <w:tc>
          <w:tcPr>
            <w:tcW w:w="1085" w:type="pct"/>
            <w:noWrap/>
            <w:vAlign w:val="center"/>
          </w:tcPr>
          <w:p w14:paraId="32576DFD" w14:textId="6E023F09" w:rsidR="004833D1" w:rsidRPr="00C07797" w:rsidRDefault="004833D1" w:rsidP="004833D1">
            <w:pPr>
              <w:widowControl/>
              <w:jc w:val="right"/>
              <w:rPr>
                <w:rFonts w:ascii="宋体" w:hAnsi="宋体" w:hint="eastAsia"/>
                <w:color w:val="000000"/>
                <w:kern w:val="0"/>
                <w:szCs w:val="21"/>
              </w:rPr>
            </w:pPr>
            <w:r w:rsidRPr="003A5CA5">
              <w:rPr>
                <w:rFonts w:ascii="宋体" w:hAnsi="宋体"/>
                <w:color w:val="000000"/>
                <w:kern w:val="0"/>
                <w:szCs w:val="21"/>
              </w:rPr>
              <w:t xml:space="preserve"> 30,414 </w:t>
            </w:r>
          </w:p>
        </w:tc>
        <w:tc>
          <w:tcPr>
            <w:tcW w:w="1083" w:type="pct"/>
            <w:noWrap/>
            <w:vAlign w:val="center"/>
          </w:tcPr>
          <w:p w14:paraId="5F235C26" w14:textId="67392491" w:rsidR="004833D1" w:rsidRPr="00C07797" w:rsidRDefault="004833D1" w:rsidP="004833D1">
            <w:pPr>
              <w:widowControl/>
              <w:jc w:val="right"/>
              <w:rPr>
                <w:rFonts w:ascii="宋体" w:hAnsi="宋体" w:hint="eastAsia"/>
                <w:color w:val="000000"/>
                <w:kern w:val="0"/>
                <w:szCs w:val="21"/>
              </w:rPr>
            </w:pPr>
            <w:r w:rsidRPr="003A5CA5">
              <w:rPr>
                <w:rFonts w:ascii="宋体" w:hAnsi="宋体"/>
                <w:color w:val="000000"/>
                <w:kern w:val="0"/>
                <w:szCs w:val="21"/>
              </w:rPr>
              <w:t xml:space="preserve"> 22,322 </w:t>
            </w:r>
          </w:p>
        </w:tc>
        <w:tc>
          <w:tcPr>
            <w:tcW w:w="644" w:type="pct"/>
            <w:vAlign w:val="center"/>
          </w:tcPr>
          <w:p w14:paraId="6A930474" w14:textId="163CC8E3" w:rsidR="004833D1" w:rsidRPr="00C07797" w:rsidRDefault="004833D1" w:rsidP="004833D1">
            <w:pPr>
              <w:widowControl/>
              <w:jc w:val="right"/>
              <w:rPr>
                <w:rFonts w:ascii="宋体" w:hAnsi="宋体" w:hint="eastAsia"/>
                <w:color w:val="000000"/>
                <w:kern w:val="0"/>
                <w:szCs w:val="21"/>
              </w:rPr>
            </w:pPr>
            <w:r w:rsidRPr="003A5CA5">
              <w:rPr>
                <w:rFonts w:ascii="宋体" w:hAnsi="宋体"/>
                <w:color w:val="000000"/>
                <w:kern w:val="0"/>
                <w:szCs w:val="21"/>
              </w:rPr>
              <w:t xml:space="preserve"> </w:t>
            </w:r>
            <w:bookmarkStart w:id="8" w:name="OLE_LINK19"/>
            <w:r w:rsidRPr="003A5CA5">
              <w:rPr>
                <w:rFonts w:ascii="宋体" w:hAnsi="宋体"/>
                <w:color w:val="000000"/>
                <w:kern w:val="0"/>
                <w:szCs w:val="21"/>
              </w:rPr>
              <w:t>8,092</w:t>
            </w:r>
            <w:bookmarkEnd w:id="8"/>
            <w:r w:rsidRPr="003A5CA5">
              <w:rPr>
                <w:rFonts w:ascii="宋体" w:hAnsi="宋体"/>
                <w:color w:val="000000"/>
                <w:kern w:val="0"/>
                <w:szCs w:val="21"/>
              </w:rPr>
              <w:t xml:space="preserve"> </w:t>
            </w:r>
          </w:p>
        </w:tc>
        <w:tc>
          <w:tcPr>
            <w:tcW w:w="772" w:type="pct"/>
            <w:vAlign w:val="center"/>
          </w:tcPr>
          <w:p w14:paraId="251ED080" w14:textId="34F369C2" w:rsidR="004833D1" w:rsidRPr="00C07797" w:rsidRDefault="004833D1" w:rsidP="004833D1">
            <w:pPr>
              <w:widowControl/>
              <w:jc w:val="right"/>
              <w:rPr>
                <w:rFonts w:ascii="宋体" w:hAnsi="宋体" w:hint="eastAsia"/>
                <w:color w:val="000000"/>
                <w:kern w:val="0"/>
                <w:szCs w:val="21"/>
              </w:rPr>
            </w:pPr>
            <w:r w:rsidRPr="003A5CA5">
              <w:rPr>
                <w:rFonts w:ascii="宋体" w:hAnsi="宋体"/>
                <w:color w:val="000000"/>
                <w:kern w:val="0"/>
                <w:szCs w:val="21"/>
              </w:rPr>
              <w:t>36.25%</w:t>
            </w:r>
          </w:p>
        </w:tc>
      </w:tr>
      <w:tr w:rsidR="00C07797" w14:paraId="511C45E0" w14:textId="77777777" w:rsidTr="003A5CA5">
        <w:trPr>
          <w:trHeight w:val="285"/>
        </w:trPr>
        <w:tc>
          <w:tcPr>
            <w:tcW w:w="1416" w:type="pct"/>
            <w:vAlign w:val="center"/>
          </w:tcPr>
          <w:p w14:paraId="1C0FA492" w14:textId="78EECBF6" w:rsidR="00C07797" w:rsidRPr="00084F58" w:rsidRDefault="00C07797" w:rsidP="00C07797">
            <w:pPr>
              <w:widowControl/>
              <w:rPr>
                <w:rFonts w:ascii="宋体" w:hAnsi="宋体" w:hint="eastAsia"/>
                <w:color w:val="000000"/>
                <w:kern w:val="0"/>
                <w:szCs w:val="21"/>
              </w:rPr>
            </w:pPr>
            <w:r>
              <w:rPr>
                <w:rFonts w:hint="eastAsia"/>
                <w:color w:val="000000"/>
                <w:szCs w:val="21"/>
              </w:rPr>
              <w:t>长期借款</w:t>
            </w:r>
          </w:p>
        </w:tc>
        <w:tc>
          <w:tcPr>
            <w:tcW w:w="1085" w:type="pct"/>
            <w:noWrap/>
            <w:vAlign w:val="center"/>
          </w:tcPr>
          <w:p w14:paraId="1F292E49" w14:textId="0630B5A4" w:rsidR="00C07797" w:rsidRPr="007616B7"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129,844 </w:t>
            </w:r>
          </w:p>
        </w:tc>
        <w:tc>
          <w:tcPr>
            <w:tcW w:w="1083" w:type="pct"/>
            <w:noWrap/>
            <w:vAlign w:val="center"/>
          </w:tcPr>
          <w:p w14:paraId="09E177AC" w14:textId="5F6CD6F3" w:rsidR="00C07797" w:rsidRPr="007616B7"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230,091 </w:t>
            </w:r>
          </w:p>
        </w:tc>
        <w:tc>
          <w:tcPr>
            <w:tcW w:w="644" w:type="pct"/>
            <w:vAlign w:val="center"/>
          </w:tcPr>
          <w:p w14:paraId="29B8AA19" w14:textId="41A2AF78" w:rsidR="00C07797" w:rsidRPr="007616B7"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 xml:space="preserve"> -100,247 </w:t>
            </w:r>
          </w:p>
        </w:tc>
        <w:tc>
          <w:tcPr>
            <w:tcW w:w="772" w:type="pct"/>
            <w:vAlign w:val="center"/>
          </w:tcPr>
          <w:p w14:paraId="2C6245CB" w14:textId="3D47C2B9" w:rsidR="00C07797" w:rsidRPr="007616B7" w:rsidRDefault="00C07797" w:rsidP="00C07797">
            <w:pPr>
              <w:widowControl/>
              <w:jc w:val="right"/>
              <w:rPr>
                <w:rFonts w:ascii="宋体" w:hAnsi="宋体" w:hint="eastAsia"/>
                <w:color w:val="000000"/>
                <w:kern w:val="0"/>
                <w:szCs w:val="21"/>
              </w:rPr>
            </w:pPr>
            <w:r w:rsidRPr="00C07797">
              <w:rPr>
                <w:rFonts w:ascii="宋体" w:hAnsi="宋体"/>
                <w:color w:val="000000"/>
                <w:kern w:val="0"/>
                <w:szCs w:val="21"/>
              </w:rPr>
              <w:t>-43.57%</w:t>
            </w:r>
          </w:p>
        </w:tc>
      </w:tr>
    </w:tbl>
    <w:p w14:paraId="53F588AC" w14:textId="77777777"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主要变动情况说明</w:t>
      </w:r>
      <w:r>
        <w:rPr>
          <w:rFonts w:hAnsi="宋体" w:cs="Times New Roman" w:hint="eastAsia"/>
        </w:rPr>
        <w:t>：</w:t>
      </w:r>
    </w:p>
    <w:p w14:paraId="50C693FE" w14:textId="21BCFE2D" w:rsidR="001A4678" w:rsidRDefault="001A4678" w:rsidP="003A2116">
      <w:pPr>
        <w:pStyle w:val="Default"/>
        <w:spacing w:beforeLines="50" w:before="156" w:afterLines="50" w:after="156" w:line="420" w:lineRule="exact"/>
        <w:ind w:firstLine="420"/>
        <w:jc w:val="both"/>
        <w:rPr>
          <w:rFonts w:hAnsi="宋体" w:cs="Times New Roman" w:hint="eastAsia"/>
        </w:rPr>
      </w:pPr>
      <w:r>
        <w:rPr>
          <w:rFonts w:hAnsi="宋体" w:cs="Times New Roman" w:hint="eastAsia"/>
        </w:rPr>
        <w:t>（1）</w:t>
      </w:r>
      <w:r w:rsidR="00F81723">
        <w:rPr>
          <w:rFonts w:hAnsi="宋体" w:cs="Times New Roman" w:hint="eastAsia"/>
        </w:rPr>
        <w:t>应收票据</w:t>
      </w:r>
      <w:r>
        <w:rPr>
          <w:rFonts w:hAnsi="宋体" w:hint="eastAsia"/>
          <w:szCs w:val="21"/>
        </w:rPr>
        <w:t>：较年初</w:t>
      </w:r>
      <w:r w:rsidR="00100675">
        <w:rPr>
          <w:rFonts w:hAnsi="宋体" w:hint="eastAsia"/>
          <w:szCs w:val="21"/>
        </w:rPr>
        <w:t>增加</w:t>
      </w:r>
      <w:r w:rsidR="004833D1">
        <w:rPr>
          <w:rFonts w:hAnsi="宋体" w:hint="eastAsia"/>
          <w:szCs w:val="21"/>
        </w:rPr>
        <w:t>2</w:t>
      </w:r>
      <w:r w:rsidR="00AA15DE" w:rsidRPr="00AA15DE">
        <w:rPr>
          <w:rFonts w:hAnsi="宋体"/>
          <w:szCs w:val="21"/>
        </w:rPr>
        <w:t>,</w:t>
      </w:r>
      <w:r w:rsidR="004833D1">
        <w:rPr>
          <w:rFonts w:hAnsi="宋体" w:hint="eastAsia"/>
          <w:szCs w:val="21"/>
        </w:rPr>
        <w:t>726</w:t>
      </w:r>
      <w:r>
        <w:rPr>
          <w:rFonts w:hAnsi="宋体" w:hint="eastAsia"/>
          <w:szCs w:val="21"/>
        </w:rPr>
        <w:t>万元</w:t>
      </w:r>
      <w:r w:rsidR="00F81723" w:rsidRPr="00F81723">
        <w:rPr>
          <w:rFonts w:hAnsi="宋体" w:hint="eastAsia"/>
          <w:szCs w:val="21"/>
        </w:rPr>
        <w:t>，主要</w:t>
      </w:r>
      <w:r w:rsidR="00F81723">
        <w:rPr>
          <w:rFonts w:hAnsi="宋体" w:hint="eastAsia"/>
          <w:szCs w:val="21"/>
        </w:rPr>
        <w:t>是报告期</w:t>
      </w:r>
      <w:r w:rsidR="00F81723" w:rsidRPr="00F81723">
        <w:rPr>
          <w:rFonts w:hAnsi="宋体" w:hint="eastAsia"/>
          <w:szCs w:val="21"/>
        </w:rPr>
        <w:t>票据贴现或背书未终止确认的票据规模增加所致</w:t>
      </w:r>
      <w:r w:rsidRPr="001A4678">
        <w:rPr>
          <w:rFonts w:hAnsi="宋体" w:hint="eastAsia"/>
          <w:szCs w:val="21"/>
        </w:rPr>
        <w:t>。</w:t>
      </w:r>
    </w:p>
    <w:p w14:paraId="76A89BB5" w14:textId="61781562" w:rsidR="00F81723" w:rsidRPr="00F81723" w:rsidRDefault="00F81723" w:rsidP="00F81723">
      <w:pPr>
        <w:pStyle w:val="Default"/>
        <w:spacing w:beforeLines="50" w:before="156" w:afterLines="50" w:after="156" w:line="420" w:lineRule="exact"/>
        <w:ind w:firstLine="420"/>
        <w:jc w:val="both"/>
        <w:rPr>
          <w:rFonts w:hAnsi="宋体" w:cs="Times New Roman" w:hint="eastAsia"/>
        </w:rPr>
      </w:pPr>
      <w:r>
        <w:rPr>
          <w:rFonts w:hAnsi="宋体" w:cs="Times New Roman" w:hint="eastAsia"/>
        </w:rPr>
        <w:t>（2）合同资产：</w:t>
      </w:r>
      <w:r>
        <w:rPr>
          <w:rFonts w:hAnsi="宋体" w:cs="Times New Roman"/>
        </w:rPr>
        <w:t>较年初</w:t>
      </w:r>
      <w:r>
        <w:rPr>
          <w:rFonts w:hAnsi="宋体" w:cs="Times New Roman" w:hint="eastAsia"/>
        </w:rPr>
        <w:t>减少3</w:t>
      </w:r>
      <w:r w:rsidRPr="00454CCE">
        <w:rPr>
          <w:rFonts w:hAnsi="宋体" w:cs="Times New Roman"/>
        </w:rPr>
        <w:t>,0</w:t>
      </w:r>
      <w:r>
        <w:rPr>
          <w:rFonts w:hAnsi="宋体" w:cs="Times New Roman" w:hint="eastAsia"/>
        </w:rPr>
        <w:t>45万元</w:t>
      </w:r>
      <w:r>
        <w:rPr>
          <w:rFonts w:hAnsi="宋体" w:cs="Times New Roman"/>
        </w:rPr>
        <w:t>，</w:t>
      </w:r>
      <w:r w:rsidRPr="00454CCE">
        <w:rPr>
          <w:rFonts w:hAnsi="宋体" w:cs="Times New Roman" w:hint="eastAsia"/>
        </w:rPr>
        <w:t>主要是报告期</w:t>
      </w:r>
      <w:proofErr w:type="gramStart"/>
      <w:r>
        <w:rPr>
          <w:rFonts w:hAnsi="宋体" w:cs="Times New Roman" w:hint="eastAsia"/>
        </w:rPr>
        <w:t>工程款</w:t>
      </w:r>
      <w:r w:rsidR="00C07797">
        <w:rPr>
          <w:rFonts w:hAnsi="宋体" w:cs="Times New Roman" w:hint="eastAsia"/>
        </w:rPr>
        <w:t>重</w:t>
      </w:r>
      <w:r w:rsidR="002A11F5">
        <w:rPr>
          <w:rFonts w:hAnsi="宋体" w:cs="Times New Roman" w:hint="eastAsia"/>
        </w:rPr>
        <w:t>分类</w:t>
      </w:r>
      <w:proofErr w:type="gramEnd"/>
      <w:r w:rsidR="002A11F5">
        <w:rPr>
          <w:rFonts w:hAnsi="宋体" w:cs="Times New Roman" w:hint="eastAsia"/>
        </w:rPr>
        <w:t>至应收账款</w:t>
      </w:r>
      <w:r>
        <w:rPr>
          <w:rFonts w:hAnsi="宋体" w:cs="Times New Roman" w:hint="eastAsia"/>
        </w:rPr>
        <w:t>所致。</w:t>
      </w:r>
    </w:p>
    <w:p w14:paraId="0D890C00" w14:textId="544F7A86"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hint="eastAsia"/>
        </w:rPr>
        <w:t>（</w:t>
      </w:r>
      <w:r w:rsidR="002A11F5">
        <w:rPr>
          <w:rFonts w:hAnsi="宋体" w:cs="Times New Roman" w:hint="eastAsia"/>
        </w:rPr>
        <w:t>3</w:t>
      </w:r>
      <w:r>
        <w:rPr>
          <w:rFonts w:hAnsi="宋体" w:cs="Times New Roman" w:hint="eastAsia"/>
        </w:rPr>
        <w:t>）</w:t>
      </w:r>
      <w:r w:rsidR="00AA15DE" w:rsidRPr="00AA15DE">
        <w:rPr>
          <w:rFonts w:hAnsi="宋体" w:cs="Times New Roman" w:hint="eastAsia"/>
        </w:rPr>
        <w:t>一年内到期的非流动资产</w:t>
      </w:r>
      <w:r>
        <w:rPr>
          <w:rFonts w:hAnsi="宋体" w:cs="Times New Roman" w:hint="eastAsia"/>
        </w:rPr>
        <w:t>：较年初</w:t>
      </w:r>
      <w:r w:rsidR="00AA15DE">
        <w:rPr>
          <w:rFonts w:hAnsi="宋体" w:cs="Times New Roman" w:hint="eastAsia"/>
        </w:rPr>
        <w:t>减少</w:t>
      </w:r>
      <w:r w:rsidR="00AA15DE" w:rsidRPr="00AA15DE">
        <w:rPr>
          <w:rFonts w:hAnsi="宋体" w:cs="Times New Roman"/>
        </w:rPr>
        <w:t>1,</w:t>
      </w:r>
      <w:r w:rsidR="002A11F5">
        <w:rPr>
          <w:rFonts w:hAnsi="宋体" w:cs="Times New Roman" w:hint="eastAsia"/>
        </w:rPr>
        <w:t>744</w:t>
      </w:r>
      <w:r w:rsidRPr="00084F58">
        <w:rPr>
          <w:rFonts w:hAnsi="宋体" w:cs="Times New Roman" w:hint="eastAsia"/>
        </w:rPr>
        <w:t>万</w:t>
      </w:r>
      <w:r>
        <w:rPr>
          <w:rFonts w:hAnsi="宋体" w:cs="Times New Roman" w:hint="eastAsia"/>
        </w:rPr>
        <w:t>元，</w:t>
      </w:r>
      <w:r w:rsidR="00DF08BA" w:rsidRPr="00DF08BA">
        <w:rPr>
          <w:rFonts w:hAnsi="宋体" w:cs="Times New Roman" w:hint="eastAsia"/>
        </w:rPr>
        <w:t>主要是报告期工程款</w:t>
      </w:r>
      <w:r w:rsidR="002A11F5">
        <w:rPr>
          <w:rFonts w:hAnsi="宋体" w:cs="Times New Roman" w:hint="eastAsia"/>
        </w:rPr>
        <w:t>回款</w:t>
      </w:r>
      <w:r w:rsidR="00DF08BA" w:rsidRPr="00DF08BA">
        <w:rPr>
          <w:rFonts w:hAnsi="宋体" w:cs="Times New Roman" w:hint="eastAsia"/>
        </w:rPr>
        <w:t>所致。</w:t>
      </w:r>
    </w:p>
    <w:p w14:paraId="150FA68F" w14:textId="3EB6020F" w:rsidR="00A558FE"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hint="eastAsia"/>
        </w:rPr>
        <w:t>（</w:t>
      </w:r>
      <w:r w:rsidR="002A11F5">
        <w:rPr>
          <w:rFonts w:hAnsi="宋体" w:cs="Times New Roman" w:hint="eastAsia"/>
        </w:rPr>
        <w:t>4</w:t>
      </w:r>
      <w:r>
        <w:rPr>
          <w:rFonts w:hAnsi="宋体" w:cs="Times New Roman" w:hint="eastAsia"/>
        </w:rPr>
        <w:t>）</w:t>
      </w:r>
      <w:r w:rsidR="00FF0C0D">
        <w:rPr>
          <w:rFonts w:hAnsi="宋体" w:cs="Times New Roman" w:hint="eastAsia"/>
        </w:rPr>
        <w:t>在建工程</w:t>
      </w:r>
      <w:r>
        <w:rPr>
          <w:rFonts w:hAnsi="宋体" w:cs="Times New Roman" w:hint="eastAsia"/>
        </w:rPr>
        <w:t>：较年初</w:t>
      </w:r>
      <w:r w:rsidR="001A4678">
        <w:rPr>
          <w:rFonts w:hAnsi="宋体" w:cs="Times New Roman" w:hint="eastAsia"/>
        </w:rPr>
        <w:t>减少</w:t>
      </w:r>
      <w:r w:rsidR="002A11F5">
        <w:rPr>
          <w:rFonts w:hAnsi="宋体" w:cs="Times New Roman" w:hint="eastAsia"/>
        </w:rPr>
        <w:t>1</w:t>
      </w:r>
      <w:r w:rsidR="00DF08BA" w:rsidRPr="00DF08BA">
        <w:rPr>
          <w:rFonts w:hAnsi="宋体" w:cs="Times New Roman"/>
        </w:rPr>
        <w:t>,5</w:t>
      </w:r>
      <w:r w:rsidR="002A11F5">
        <w:rPr>
          <w:rFonts w:hAnsi="宋体" w:cs="Times New Roman" w:hint="eastAsia"/>
        </w:rPr>
        <w:t>09</w:t>
      </w:r>
      <w:r w:rsidRPr="00A558FE">
        <w:rPr>
          <w:rFonts w:hAnsi="宋体" w:cs="Times New Roman"/>
        </w:rPr>
        <w:t>万</w:t>
      </w:r>
      <w:r>
        <w:rPr>
          <w:rFonts w:hAnsi="宋体" w:cs="Times New Roman"/>
        </w:rPr>
        <w:t>元</w:t>
      </w:r>
      <w:r>
        <w:rPr>
          <w:rFonts w:hAnsi="宋体" w:cs="Times New Roman" w:hint="eastAsia"/>
        </w:rPr>
        <w:t>，主要是报告期</w:t>
      </w:r>
      <w:r w:rsidR="00454CCE">
        <w:rPr>
          <w:rFonts w:hAnsi="宋体" w:cs="Times New Roman" w:hint="eastAsia"/>
        </w:rPr>
        <w:t>在建</w:t>
      </w:r>
      <w:proofErr w:type="gramStart"/>
      <w:r w:rsidR="00BA22B0">
        <w:rPr>
          <w:rFonts w:hAnsi="宋体" w:cs="Times New Roman" w:hint="eastAsia"/>
        </w:rPr>
        <w:t>项目转</w:t>
      </w:r>
      <w:r w:rsidR="000E7BF2">
        <w:rPr>
          <w:rFonts w:hAnsi="宋体" w:cs="Times New Roman" w:hint="eastAsia"/>
        </w:rPr>
        <w:t>固</w:t>
      </w:r>
      <w:r w:rsidR="00BA22B0">
        <w:rPr>
          <w:rFonts w:hAnsi="宋体" w:cs="Times New Roman" w:hint="eastAsia"/>
        </w:rPr>
        <w:t>所致</w:t>
      </w:r>
      <w:proofErr w:type="gramEnd"/>
      <w:r w:rsidR="00A558FE" w:rsidRPr="00A558FE">
        <w:rPr>
          <w:rFonts w:hAnsi="宋体" w:cs="Times New Roman" w:hint="eastAsia"/>
        </w:rPr>
        <w:t>。</w:t>
      </w:r>
    </w:p>
    <w:p w14:paraId="4275F3BA" w14:textId="7D9DF00C" w:rsidR="00DB5F89" w:rsidRPr="00DB5F89" w:rsidRDefault="00DB5F89" w:rsidP="003A2116">
      <w:pPr>
        <w:pStyle w:val="Default"/>
        <w:spacing w:beforeLines="50" w:before="156" w:afterLines="50" w:after="156" w:line="420" w:lineRule="exact"/>
        <w:ind w:firstLine="420"/>
        <w:jc w:val="both"/>
        <w:rPr>
          <w:rFonts w:hAnsi="宋体" w:cs="Times New Roman" w:hint="eastAsia"/>
        </w:rPr>
      </w:pPr>
      <w:bookmarkStart w:id="9" w:name="OLE_LINK29"/>
      <w:r>
        <w:rPr>
          <w:rFonts w:hAnsi="宋体" w:cs="Times New Roman" w:hint="eastAsia"/>
        </w:rPr>
        <w:t>（</w:t>
      </w:r>
      <w:r w:rsidR="002A11F5">
        <w:rPr>
          <w:rFonts w:hAnsi="宋体" w:cs="Times New Roman" w:hint="eastAsia"/>
        </w:rPr>
        <w:t>5</w:t>
      </w:r>
      <w:r>
        <w:rPr>
          <w:rFonts w:hAnsi="宋体" w:cs="Times New Roman" w:hint="eastAsia"/>
        </w:rPr>
        <w:t>）</w:t>
      </w:r>
      <w:r w:rsidR="002A11F5">
        <w:rPr>
          <w:rFonts w:hAnsi="宋体" w:cs="Times New Roman" w:hint="eastAsia"/>
        </w:rPr>
        <w:t>商誉</w:t>
      </w:r>
      <w:r>
        <w:rPr>
          <w:rFonts w:hAnsi="宋体" w:cs="Times New Roman" w:hint="eastAsia"/>
        </w:rPr>
        <w:t>：</w:t>
      </w:r>
      <w:r>
        <w:rPr>
          <w:rFonts w:hAnsi="宋体" w:cs="Times New Roman"/>
        </w:rPr>
        <w:t>较年初</w:t>
      </w:r>
      <w:r w:rsidR="00454CCE">
        <w:rPr>
          <w:rFonts w:hAnsi="宋体" w:cs="Times New Roman" w:hint="eastAsia"/>
        </w:rPr>
        <w:t>减少</w:t>
      </w:r>
      <w:r w:rsidR="00C07797">
        <w:rPr>
          <w:rFonts w:hAnsi="宋体" w:cs="Times New Roman" w:hint="eastAsia"/>
        </w:rPr>
        <w:t>30</w:t>
      </w:r>
      <w:r w:rsidR="00454CCE" w:rsidRPr="00454CCE">
        <w:rPr>
          <w:rFonts w:hAnsi="宋体" w:cs="Times New Roman"/>
        </w:rPr>
        <w:t>,</w:t>
      </w:r>
      <w:r w:rsidR="00C07797">
        <w:rPr>
          <w:rFonts w:hAnsi="宋体" w:cs="Times New Roman" w:hint="eastAsia"/>
        </w:rPr>
        <w:t>555</w:t>
      </w:r>
      <w:r>
        <w:rPr>
          <w:rFonts w:hAnsi="宋体" w:cs="Times New Roman" w:hint="eastAsia"/>
        </w:rPr>
        <w:t>万元</w:t>
      </w:r>
      <w:r>
        <w:rPr>
          <w:rFonts w:hAnsi="宋体" w:cs="Times New Roman"/>
        </w:rPr>
        <w:t>，</w:t>
      </w:r>
      <w:r w:rsidR="00454CCE" w:rsidRPr="00454CCE">
        <w:rPr>
          <w:rFonts w:hAnsi="宋体" w:cs="Times New Roman" w:hint="eastAsia"/>
        </w:rPr>
        <w:t>主要是</w:t>
      </w:r>
      <w:r w:rsidR="002A11F5" w:rsidRPr="002A11F5">
        <w:rPr>
          <w:rFonts w:hAnsi="宋体" w:cs="Times New Roman" w:hint="eastAsia"/>
        </w:rPr>
        <w:t>报告期内公司对并购子公司计提商誉减值准备所致</w:t>
      </w:r>
      <w:r>
        <w:rPr>
          <w:rFonts w:hAnsi="宋体" w:cs="Times New Roman" w:hint="eastAsia"/>
        </w:rPr>
        <w:t>。</w:t>
      </w:r>
    </w:p>
    <w:bookmarkEnd w:id="9"/>
    <w:p w14:paraId="1036B88B" w14:textId="58D89457"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w:t>
      </w:r>
      <w:r w:rsidR="00862F68">
        <w:rPr>
          <w:rFonts w:hAnsi="宋体" w:cs="Times New Roman"/>
        </w:rPr>
        <w:t>6</w:t>
      </w:r>
      <w:r>
        <w:rPr>
          <w:rFonts w:hAnsi="宋体" w:cs="Times New Roman"/>
        </w:rPr>
        <w:t>）</w:t>
      </w:r>
      <w:r w:rsidR="002A11F5">
        <w:rPr>
          <w:rFonts w:hAnsi="宋体" w:cs="Times New Roman" w:hint="eastAsia"/>
        </w:rPr>
        <w:t>短期借款</w:t>
      </w:r>
      <w:r>
        <w:rPr>
          <w:rFonts w:hAnsi="宋体" w:cs="Times New Roman" w:hint="eastAsia"/>
        </w:rPr>
        <w:t>：</w:t>
      </w:r>
      <w:r>
        <w:rPr>
          <w:rFonts w:hAnsi="宋体" w:cs="Times New Roman"/>
        </w:rPr>
        <w:t>较年初</w:t>
      </w:r>
      <w:r w:rsidR="00454CCE">
        <w:rPr>
          <w:rFonts w:hAnsi="宋体" w:cs="Times New Roman" w:hint="eastAsia"/>
        </w:rPr>
        <w:t>增加</w:t>
      </w:r>
      <w:r w:rsidR="002A11F5">
        <w:rPr>
          <w:rFonts w:hAnsi="宋体" w:cs="Times New Roman" w:hint="eastAsia"/>
        </w:rPr>
        <w:t>45,17</w:t>
      </w:r>
      <w:r w:rsidR="00C07797">
        <w:rPr>
          <w:rFonts w:hAnsi="宋体" w:cs="Times New Roman" w:hint="eastAsia"/>
        </w:rPr>
        <w:t>2</w:t>
      </w:r>
      <w:r>
        <w:rPr>
          <w:rFonts w:hAnsi="宋体" w:cs="Times New Roman" w:hint="eastAsia"/>
        </w:rPr>
        <w:t>万元</w:t>
      </w:r>
      <w:r>
        <w:rPr>
          <w:rFonts w:hAnsi="宋体" w:cs="Times New Roman"/>
        </w:rPr>
        <w:t>，主要是</w:t>
      </w:r>
      <w:r>
        <w:rPr>
          <w:rFonts w:hAnsi="宋体" w:cs="Times New Roman" w:hint="eastAsia"/>
        </w:rPr>
        <w:t>报告期</w:t>
      </w:r>
      <w:r w:rsidR="003310C9">
        <w:rPr>
          <w:rFonts w:hAnsi="宋体" w:cs="Times New Roman" w:hint="eastAsia"/>
        </w:rPr>
        <w:t>债务结构调整导致</w:t>
      </w:r>
      <w:r w:rsidR="002A11F5">
        <w:rPr>
          <w:rFonts w:hAnsi="宋体" w:cs="Times New Roman" w:hint="eastAsia"/>
        </w:rPr>
        <w:t>一年期银行借款增加</w:t>
      </w:r>
      <w:r w:rsidR="00FB3796">
        <w:rPr>
          <w:rFonts w:hAnsi="宋体" w:cs="Times New Roman" w:hint="eastAsia"/>
        </w:rPr>
        <w:t>。</w:t>
      </w:r>
    </w:p>
    <w:p w14:paraId="2337D73B" w14:textId="5CECB2CC" w:rsidR="004833D1" w:rsidRDefault="004833D1"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w:t>
      </w:r>
      <w:r>
        <w:rPr>
          <w:rFonts w:hAnsi="宋体" w:cs="Times New Roman" w:hint="eastAsia"/>
        </w:rPr>
        <w:t>7</w:t>
      </w:r>
      <w:r>
        <w:rPr>
          <w:rFonts w:hAnsi="宋体" w:cs="Times New Roman"/>
        </w:rPr>
        <w:t>）</w:t>
      </w:r>
      <w:r>
        <w:rPr>
          <w:rFonts w:hAnsi="宋体" w:cs="Times New Roman" w:hint="eastAsia"/>
        </w:rPr>
        <w:t>其他应付款：较年初增加</w:t>
      </w:r>
      <w:r w:rsidRPr="004833D1">
        <w:rPr>
          <w:rFonts w:hAnsi="宋体" w:cs="Times New Roman"/>
        </w:rPr>
        <w:t>8,092</w:t>
      </w:r>
      <w:r>
        <w:rPr>
          <w:rFonts w:hAnsi="宋体" w:cs="Times New Roman" w:hint="eastAsia"/>
        </w:rPr>
        <w:t>万元，主要是报告</w:t>
      </w:r>
      <w:proofErr w:type="gramStart"/>
      <w:r>
        <w:rPr>
          <w:rFonts w:hAnsi="宋体" w:cs="Times New Roman" w:hint="eastAsia"/>
        </w:rPr>
        <w:t>期根据</w:t>
      </w:r>
      <w:proofErr w:type="gramEnd"/>
      <w:r>
        <w:rPr>
          <w:rFonts w:hAnsi="宋体" w:cs="Times New Roman" w:hint="eastAsia"/>
        </w:rPr>
        <w:t>诉讼判决，</w:t>
      </w:r>
      <w:r w:rsidRPr="004833D1">
        <w:rPr>
          <w:rFonts w:hAnsi="宋体" w:cs="Times New Roman" w:hint="eastAsia"/>
        </w:rPr>
        <w:t>对应当承担的支付义务确认了相应的负债。</w:t>
      </w:r>
    </w:p>
    <w:p w14:paraId="16E88CD1" w14:textId="6A6FC8D4" w:rsidR="00454CCE" w:rsidRDefault="00454CCE"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w:t>
      </w:r>
      <w:r w:rsidR="004833D1">
        <w:rPr>
          <w:rFonts w:hAnsi="宋体" w:cs="Times New Roman" w:hint="eastAsia"/>
        </w:rPr>
        <w:t>8</w:t>
      </w:r>
      <w:r>
        <w:rPr>
          <w:rFonts w:hAnsi="宋体" w:cs="Times New Roman"/>
        </w:rPr>
        <w:t>）</w:t>
      </w:r>
      <w:r w:rsidR="00DB2FEE">
        <w:rPr>
          <w:rFonts w:hAnsi="宋体" w:cs="Times New Roman" w:hint="eastAsia"/>
        </w:rPr>
        <w:t>长期借款</w:t>
      </w:r>
      <w:r>
        <w:rPr>
          <w:rFonts w:hAnsi="宋体" w:cs="Times New Roman" w:hint="eastAsia"/>
        </w:rPr>
        <w:t>：</w:t>
      </w:r>
      <w:r>
        <w:rPr>
          <w:rFonts w:hAnsi="宋体" w:cs="Times New Roman"/>
        </w:rPr>
        <w:t>较年初</w:t>
      </w:r>
      <w:r w:rsidR="00DB2FEE">
        <w:rPr>
          <w:rFonts w:hAnsi="宋体" w:cs="Times New Roman" w:hint="eastAsia"/>
        </w:rPr>
        <w:t>减少100</w:t>
      </w:r>
      <w:r w:rsidRPr="00454CCE">
        <w:rPr>
          <w:rFonts w:hAnsi="宋体" w:cs="Times New Roman"/>
        </w:rPr>
        <w:t>,</w:t>
      </w:r>
      <w:r w:rsidR="00DB2FEE">
        <w:rPr>
          <w:rFonts w:hAnsi="宋体" w:cs="Times New Roman" w:hint="eastAsia"/>
        </w:rPr>
        <w:t>247</w:t>
      </w:r>
      <w:r w:rsidRPr="00454CCE">
        <w:rPr>
          <w:rFonts w:hAnsi="宋体" w:cs="Times New Roman"/>
        </w:rPr>
        <w:t>万</w:t>
      </w:r>
      <w:r>
        <w:rPr>
          <w:rFonts w:hAnsi="宋体" w:cs="Times New Roman"/>
        </w:rPr>
        <w:t>元，</w:t>
      </w:r>
      <w:r w:rsidRPr="00454CCE">
        <w:rPr>
          <w:rFonts w:hAnsi="宋体" w:cs="Times New Roman" w:hint="eastAsia"/>
        </w:rPr>
        <w:t>主要是</w:t>
      </w:r>
      <w:r w:rsidR="002A11F5" w:rsidRPr="002A11F5">
        <w:rPr>
          <w:rFonts w:hAnsi="宋体" w:cs="Times New Roman" w:hint="eastAsia"/>
        </w:rPr>
        <w:t>报告期内公司</w:t>
      </w:r>
      <w:r w:rsidR="00DB2FEE">
        <w:rPr>
          <w:rFonts w:hAnsi="宋体" w:cs="Times New Roman" w:hint="eastAsia"/>
        </w:rPr>
        <w:t>偿还</w:t>
      </w:r>
      <w:r w:rsidR="002A11F5" w:rsidRPr="002A11F5">
        <w:rPr>
          <w:rFonts w:hAnsi="宋体" w:cs="Times New Roman" w:hint="eastAsia"/>
        </w:rPr>
        <w:t>银行借</w:t>
      </w:r>
      <w:r w:rsidR="002A11F5" w:rsidRPr="002A11F5">
        <w:rPr>
          <w:rFonts w:hAnsi="宋体" w:cs="Times New Roman" w:hint="eastAsia"/>
        </w:rPr>
        <w:lastRenderedPageBreak/>
        <w:t>款所致</w:t>
      </w:r>
      <w:r w:rsidRPr="00454CCE">
        <w:rPr>
          <w:rFonts w:hAnsi="宋体" w:cs="Times New Roman" w:hint="eastAsia"/>
        </w:rPr>
        <w:t>。</w:t>
      </w:r>
    </w:p>
    <w:p w14:paraId="2BE204B8" w14:textId="77777777"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2、</w:t>
      </w:r>
      <w:r w:rsidRPr="008E4C9E">
        <w:rPr>
          <w:rFonts w:hAnsi="宋体" w:cs="Times New Roman"/>
        </w:rPr>
        <w:t>经营情况</w:t>
      </w:r>
    </w:p>
    <w:p w14:paraId="02A2DB53" w14:textId="300F9634" w:rsidR="00AE4EE8" w:rsidRDefault="00866906" w:rsidP="003A2116">
      <w:pPr>
        <w:pStyle w:val="Default"/>
        <w:spacing w:beforeLines="50" w:before="156" w:afterLines="50" w:after="156" w:line="420" w:lineRule="exact"/>
        <w:ind w:firstLine="420"/>
        <w:jc w:val="both"/>
        <w:rPr>
          <w:rFonts w:hAnsi="宋体" w:cs="Times New Roman" w:hint="eastAsia"/>
        </w:rPr>
      </w:pPr>
      <w:r>
        <w:rPr>
          <w:rFonts w:hAnsi="宋体" w:cs="Times New Roman" w:hint="eastAsia"/>
        </w:rPr>
        <w:t>营业收入</w:t>
      </w:r>
      <w:r w:rsidR="00877547">
        <w:rPr>
          <w:rFonts w:hAnsi="宋体" w:cs="Times New Roman"/>
        </w:rPr>
        <w:t>：202</w:t>
      </w:r>
      <w:r w:rsidR="00DB2FEE">
        <w:rPr>
          <w:rFonts w:hAnsi="宋体" w:cs="Times New Roman" w:hint="eastAsia"/>
        </w:rPr>
        <w:t>5</w:t>
      </w:r>
      <w:r w:rsidR="00877547">
        <w:rPr>
          <w:rFonts w:hAnsi="宋体" w:cs="Times New Roman"/>
        </w:rPr>
        <w:t>年度公司实现营业</w:t>
      </w:r>
      <w:r>
        <w:rPr>
          <w:rFonts w:hAnsi="宋体" w:cs="Times New Roman" w:hint="eastAsia"/>
        </w:rPr>
        <w:t>收入</w:t>
      </w:r>
      <w:r w:rsidR="00DB2FEE" w:rsidRPr="00DB2FEE">
        <w:rPr>
          <w:rFonts w:hAnsi="宋体" w:cs="Times New Roman"/>
        </w:rPr>
        <w:t>345,703</w:t>
      </w:r>
      <w:r w:rsidR="00877547">
        <w:rPr>
          <w:rFonts w:hAnsi="宋体" w:cs="Times New Roman"/>
        </w:rPr>
        <w:t>万元（20</w:t>
      </w:r>
      <w:r w:rsidR="006E6964">
        <w:rPr>
          <w:rFonts w:hAnsi="宋体" w:cs="Times New Roman"/>
        </w:rPr>
        <w:t>2</w:t>
      </w:r>
      <w:r w:rsidR="00350D08">
        <w:rPr>
          <w:rFonts w:hAnsi="宋体" w:cs="Times New Roman" w:hint="eastAsia"/>
        </w:rPr>
        <w:t>4</w:t>
      </w:r>
      <w:r w:rsidR="00877547">
        <w:rPr>
          <w:rFonts w:hAnsi="宋体" w:cs="Times New Roman"/>
        </w:rPr>
        <w:t>年：</w:t>
      </w:r>
      <w:r w:rsidR="00DB2FEE">
        <w:rPr>
          <w:rFonts w:hAnsi="宋体" w:cs="Times New Roman"/>
        </w:rPr>
        <w:t>348,666</w:t>
      </w:r>
      <w:r w:rsidR="00877547">
        <w:rPr>
          <w:rFonts w:hAnsi="宋体" w:cs="Times New Roman"/>
        </w:rPr>
        <w:t>万元），较上年</w:t>
      </w:r>
      <w:r w:rsidR="003A2C71">
        <w:rPr>
          <w:rFonts w:hAnsi="宋体" w:cs="Times New Roman" w:hint="eastAsia"/>
        </w:rPr>
        <w:t>减少</w:t>
      </w:r>
      <w:r w:rsidR="00350D08">
        <w:rPr>
          <w:rFonts w:hAnsi="宋体" w:cs="Times New Roman" w:hint="eastAsia"/>
        </w:rPr>
        <w:t>2</w:t>
      </w:r>
      <w:r w:rsidR="003A2C71" w:rsidRPr="003A2C71">
        <w:rPr>
          <w:rFonts w:hAnsi="宋体" w:cs="Times New Roman"/>
        </w:rPr>
        <w:t>,</w:t>
      </w:r>
      <w:r w:rsidR="00350D08">
        <w:rPr>
          <w:rFonts w:hAnsi="宋体" w:cs="Times New Roman" w:hint="eastAsia"/>
        </w:rPr>
        <w:t>963</w:t>
      </w:r>
      <w:r w:rsidR="00877547">
        <w:rPr>
          <w:rFonts w:hAnsi="宋体" w:cs="Times New Roman"/>
        </w:rPr>
        <w:t>万元，</w:t>
      </w:r>
      <w:r w:rsidR="003A2C71">
        <w:rPr>
          <w:rFonts w:hAnsi="宋体" w:cs="Times New Roman" w:hint="eastAsia"/>
        </w:rPr>
        <w:t>减</w:t>
      </w:r>
      <w:r w:rsidR="00877547">
        <w:rPr>
          <w:rFonts w:hAnsi="宋体" w:cs="Times New Roman"/>
        </w:rPr>
        <w:t>幅为</w:t>
      </w:r>
      <w:r w:rsidR="00350D08">
        <w:rPr>
          <w:rFonts w:hAnsi="宋体" w:cs="Times New Roman" w:hint="eastAsia"/>
        </w:rPr>
        <w:t>0.85</w:t>
      </w:r>
      <w:r w:rsidR="006E6964" w:rsidRPr="006E6964">
        <w:rPr>
          <w:rFonts w:hAnsi="宋体" w:cs="Times New Roman"/>
        </w:rPr>
        <w:t>%</w:t>
      </w:r>
      <w:r w:rsidR="00877547">
        <w:rPr>
          <w:rFonts w:hAnsi="宋体" w:cs="Times New Roman"/>
        </w:rPr>
        <w:t>。</w:t>
      </w:r>
      <w:r w:rsidR="00350D08">
        <w:rPr>
          <w:rFonts w:hAnsi="宋体" w:cs="Times New Roman" w:hint="eastAsia"/>
        </w:rPr>
        <w:t>营业</w:t>
      </w:r>
      <w:r w:rsidR="00350D08" w:rsidRPr="00350D08">
        <w:rPr>
          <w:rFonts w:hAnsi="宋体" w:cs="Times New Roman" w:hint="eastAsia"/>
        </w:rPr>
        <w:t>收入规模基本保持稳定</w:t>
      </w:r>
      <w:r w:rsidR="00350D08">
        <w:rPr>
          <w:rFonts w:hAnsi="宋体" w:cs="Times New Roman" w:hint="eastAsia"/>
        </w:rPr>
        <w:t>，其中：</w:t>
      </w:r>
      <w:r w:rsidR="00350D08">
        <w:rPr>
          <w:rFonts w:hAnsi="宋体" w:cs="Times New Roman"/>
        </w:rPr>
        <w:t>资源化利用产品销售业务营业收入较上年同期</w:t>
      </w:r>
      <w:r w:rsidR="00350D08">
        <w:rPr>
          <w:rFonts w:hAnsi="宋体" w:cs="Times New Roman" w:hint="eastAsia"/>
        </w:rPr>
        <w:t>增长</w:t>
      </w:r>
      <w:r w:rsidR="00350D08">
        <w:rPr>
          <w:rFonts w:hAnsi="宋体" w:cs="Times New Roman"/>
        </w:rPr>
        <w:t>约</w:t>
      </w:r>
      <w:r w:rsidR="00350D08">
        <w:rPr>
          <w:rFonts w:hAnsi="宋体" w:cs="Times New Roman" w:hint="eastAsia"/>
        </w:rPr>
        <w:t>20.88</w:t>
      </w:r>
      <w:r w:rsidR="00350D08">
        <w:rPr>
          <w:rFonts w:hAnsi="宋体" w:cs="Times New Roman"/>
        </w:rPr>
        <w:t>%至约人民币</w:t>
      </w:r>
      <w:r w:rsidR="00350D08" w:rsidRPr="00350D08">
        <w:rPr>
          <w:rFonts w:hAnsi="宋体" w:cs="Times New Roman"/>
        </w:rPr>
        <w:t>157,291</w:t>
      </w:r>
      <w:r w:rsidR="00350D08" w:rsidRPr="003A2C71">
        <w:rPr>
          <w:rFonts w:hAnsi="宋体" w:cs="Times New Roman"/>
        </w:rPr>
        <w:t>万元</w:t>
      </w:r>
      <w:r w:rsidR="00350D08">
        <w:rPr>
          <w:rFonts w:hAnsi="宋体" w:cs="Times New Roman"/>
        </w:rPr>
        <w:t>(202</w:t>
      </w:r>
      <w:r w:rsidR="00350D08">
        <w:rPr>
          <w:rFonts w:hAnsi="宋体" w:cs="Times New Roman" w:hint="eastAsia"/>
        </w:rPr>
        <w:t>4</w:t>
      </w:r>
      <w:r w:rsidR="00350D08">
        <w:rPr>
          <w:rFonts w:hAnsi="宋体" w:cs="Times New Roman"/>
        </w:rPr>
        <w:t>年：约</w:t>
      </w:r>
      <w:r w:rsidR="00350D08" w:rsidRPr="003A2C71">
        <w:rPr>
          <w:rFonts w:hAnsi="宋体" w:cs="Times New Roman"/>
        </w:rPr>
        <w:t>130,125</w:t>
      </w:r>
      <w:r w:rsidR="00350D08">
        <w:rPr>
          <w:rFonts w:hAnsi="宋体" w:cs="Times New Roman"/>
        </w:rPr>
        <w:t>万元)</w:t>
      </w:r>
      <w:r w:rsidR="00350D08">
        <w:rPr>
          <w:rFonts w:hAnsi="宋体" w:cs="Times New Roman" w:hint="eastAsia"/>
        </w:rPr>
        <w:t>，</w:t>
      </w:r>
      <w:r w:rsidR="00350D08">
        <w:rPr>
          <w:rFonts w:hAnsi="宋体" w:cs="Times New Roman"/>
        </w:rPr>
        <w:t>工业废物处理处置营业收入较上年同期</w:t>
      </w:r>
      <w:r w:rsidR="00350D08">
        <w:rPr>
          <w:rFonts w:hAnsi="宋体" w:cs="Times New Roman" w:hint="eastAsia"/>
        </w:rPr>
        <w:t>下降</w:t>
      </w:r>
      <w:r w:rsidR="00350D08">
        <w:rPr>
          <w:rFonts w:hAnsi="宋体" w:cs="Times New Roman"/>
        </w:rPr>
        <w:t>约</w:t>
      </w:r>
      <w:r w:rsidR="00350D08">
        <w:rPr>
          <w:rFonts w:hAnsi="宋体" w:cs="Times New Roman" w:hint="eastAsia"/>
        </w:rPr>
        <w:t>21.52</w:t>
      </w:r>
      <w:r w:rsidR="00350D08">
        <w:rPr>
          <w:rFonts w:hAnsi="宋体" w:cs="Times New Roman"/>
        </w:rPr>
        <w:t>%至人民币</w:t>
      </w:r>
      <w:r w:rsidR="00350D08" w:rsidRPr="00350D08">
        <w:rPr>
          <w:rFonts w:hAnsi="宋体" w:cs="Times New Roman"/>
        </w:rPr>
        <w:t>73,409</w:t>
      </w:r>
      <w:r w:rsidR="00350D08" w:rsidRPr="003A2C71">
        <w:rPr>
          <w:rFonts w:hAnsi="宋体" w:cs="Times New Roman"/>
        </w:rPr>
        <w:t>万元</w:t>
      </w:r>
      <w:r w:rsidR="00350D08">
        <w:rPr>
          <w:rFonts w:hAnsi="宋体" w:cs="Times New Roman"/>
        </w:rPr>
        <w:t>（202</w:t>
      </w:r>
      <w:r w:rsidR="00350D08">
        <w:rPr>
          <w:rFonts w:hAnsi="宋体" w:cs="Times New Roman" w:hint="eastAsia"/>
        </w:rPr>
        <w:t>4</w:t>
      </w:r>
      <w:r w:rsidR="00350D08">
        <w:rPr>
          <w:rFonts w:hAnsi="宋体" w:cs="Times New Roman"/>
        </w:rPr>
        <w:t>年：约</w:t>
      </w:r>
      <w:r w:rsidR="00350D08" w:rsidRPr="003A2C71">
        <w:rPr>
          <w:rFonts w:hAnsi="宋体" w:cs="Times New Roman"/>
        </w:rPr>
        <w:t>93,540</w:t>
      </w:r>
      <w:r w:rsidR="00350D08">
        <w:rPr>
          <w:rFonts w:hAnsi="宋体" w:cs="Times New Roman"/>
        </w:rPr>
        <w:t>万元）</w:t>
      </w:r>
      <w:r w:rsidR="00350D08">
        <w:rPr>
          <w:rFonts w:hAnsi="宋体" w:cs="Times New Roman" w:hint="eastAsia"/>
        </w:rPr>
        <w:t>，</w:t>
      </w:r>
      <w:r w:rsidR="008E4C9E">
        <w:rPr>
          <w:rFonts w:hAnsi="宋体" w:cs="Times New Roman" w:hint="eastAsia"/>
        </w:rPr>
        <w:t>稀贵金属回收利用业务</w:t>
      </w:r>
      <w:r w:rsidR="002076EC">
        <w:rPr>
          <w:rFonts w:hAnsi="宋体" w:cs="Times New Roman" w:hint="eastAsia"/>
        </w:rPr>
        <w:t>较上年同期</w:t>
      </w:r>
      <w:r w:rsidR="003A2C71">
        <w:rPr>
          <w:rFonts w:hAnsi="宋体" w:cs="Times New Roman" w:hint="eastAsia"/>
        </w:rPr>
        <w:t>下降</w:t>
      </w:r>
      <w:r w:rsidR="002076EC">
        <w:rPr>
          <w:rFonts w:hAnsi="宋体" w:cs="Times New Roman" w:hint="eastAsia"/>
        </w:rPr>
        <w:t>约</w:t>
      </w:r>
      <w:r w:rsidR="00350D08">
        <w:rPr>
          <w:rFonts w:hAnsi="宋体" w:cs="Times New Roman" w:hint="eastAsia"/>
        </w:rPr>
        <w:t>16.32</w:t>
      </w:r>
      <w:r w:rsidR="002076EC">
        <w:rPr>
          <w:rFonts w:hAnsi="宋体" w:cs="Times New Roman"/>
        </w:rPr>
        <w:t>%</w:t>
      </w:r>
      <w:r w:rsidR="002076EC">
        <w:rPr>
          <w:rFonts w:hAnsi="宋体" w:cs="Times New Roman" w:hint="eastAsia"/>
        </w:rPr>
        <w:t>至人民币</w:t>
      </w:r>
      <w:r w:rsidR="00350D08" w:rsidRPr="00350D08">
        <w:rPr>
          <w:rFonts w:hAnsi="宋体" w:cs="Times New Roman"/>
        </w:rPr>
        <w:t>71,791</w:t>
      </w:r>
      <w:r w:rsidR="002076EC" w:rsidRPr="003A2C71">
        <w:rPr>
          <w:rFonts w:hAnsi="宋体" w:cs="Times New Roman" w:hint="eastAsia"/>
        </w:rPr>
        <w:t>万元</w:t>
      </w:r>
      <w:r w:rsidR="002076EC">
        <w:rPr>
          <w:rFonts w:hAnsi="宋体" w:cs="Times New Roman" w:hint="eastAsia"/>
        </w:rPr>
        <w:t>（2</w:t>
      </w:r>
      <w:r w:rsidR="002076EC">
        <w:rPr>
          <w:rFonts w:hAnsi="宋体" w:cs="Times New Roman"/>
        </w:rPr>
        <w:t>02</w:t>
      </w:r>
      <w:r w:rsidR="00350D08">
        <w:rPr>
          <w:rFonts w:hAnsi="宋体" w:cs="Times New Roman" w:hint="eastAsia"/>
        </w:rPr>
        <w:t>4</w:t>
      </w:r>
      <w:r w:rsidR="002076EC">
        <w:rPr>
          <w:rFonts w:hAnsi="宋体" w:cs="Times New Roman" w:hint="eastAsia"/>
        </w:rPr>
        <w:t>年</w:t>
      </w:r>
      <w:r w:rsidR="003407E7">
        <w:rPr>
          <w:rFonts w:hAnsi="宋体" w:cs="Times New Roman" w:hint="eastAsia"/>
        </w:rPr>
        <w:t>：</w:t>
      </w:r>
      <w:r w:rsidR="002076EC">
        <w:rPr>
          <w:rFonts w:hAnsi="宋体" w:cs="Times New Roman" w:hint="eastAsia"/>
        </w:rPr>
        <w:t>约</w:t>
      </w:r>
      <w:r w:rsidR="00350D08" w:rsidRPr="003A2C71">
        <w:rPr>
          <w:rFonts w:hAnsi="宋体" w:cs="Times New Roman"/>
        </w:rPr>
        <w:t>85,802</w:t>
      </w:r>
      <w:r w:rsidR="002076EC">
        <w:rPr>
          <w:rFonts w:hAnsi="宋体" w:cs="Times New Roman" w:hint="eastAsia"/>
        </w:rPr>
        <w:t>万元</w:t>
      </w:r>
      <w:r w:rsidR="002076EC" w:rsidRPr="002076EC">
        <w:rPr>
          <w:rFonts w:hAnsi="宋体" w:cs="Times New Roman"/>
        </w:rPr>
        <w:t>）</w:t>
      </w:r>
      <w:r w:rsidR="006664A6" w:rsidRPr="002076EC">
        <w:rPr>
          <w:rFonts w:hAnsi="宋体" w:cs="Times New Roman" w:hint="eastAsia"/>
        </w:rPr>
        <w:t>。</w:t>
      </w:r>
    </w:p>
    <w:p w14:paraId="43DA872E" w14:textId="065C09E0"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净利润：202</w:t>
      </w:r>
      <w:r w:rsidR="006A3095">
        <w:rPr>
          <w:rFonts w:hAnsi="宋体" w:cs="Times New Roman" w:hint="eastAsia"/>
        </w:rPr>
        <w:t>5</w:t>
      </w:r>
      <w:r>
        <w:rPr>
          <w:rFonts w:hAnsi="宋体" w:cs="Times New Roman"/>
        </w:rPr>
        <w:t>年实现归属于母公司股东的净利润</w:t>
      </w:r>
      <w:r w:rsidR="00895221" w:rsidRPr="00895221">
        <w:rPr>
          <w:rFonts w:hAnsi="宋体" w:cs="Times New Roman"/>
        </w:rPr>
        <w:t>-123,153.78</w:t>
      </w:r>
      <w:r>
        <w:rPr>
          <w:rFonts w:hAnsi="宋体" w:cs="Times New Roman"/>
        </w:rPr>
        <w:t>万元(20</w:t>
      </w:r>
      <w:r w:rsidR="00AE4EE8">
        <w:rPr>
          <w:rFonts w:hAnsi="宋体" w:cs="Times New Roman"/>
        </w:rPr>
        <w:t>2</w:t>
      </w:r>
      <w:r w:rsidR="006A3095">
        <w:rPr>
          <w:rFonts w:hAnsi="宋体" w:cs="Times New Roman" w:hint="eastAsia"/>
        </w:rPr>
        <w:t>4</w:t>
      </w:r>
      <w:r>
        <w:rPr>
          <w:rFonts w:hAnsi="宋体" w:cs="Times New Roman"/>
        </w:rPr>
        <w:t>年：</w:t>
      </w:r>
      <w:r w:rsidR="00E46E26" w:rsidRPr="00E46E26">
        <w:rPr>
          <w:rFonts w:hAnsi="宋体" w:cs="Times New Roman"/>
        </w:rPr>
        <w:t>-80,418.59</w:t>
      </w:r>
      <w:r>
        <w:rPr>
          <w:rFonts w:hAnsi="宋体" w:cs="Times New Roman"/>
        </w:rPr>
        <w:t>万元)，较上年</w:t>
      </w:r>
      <w:r>
        <w:rPr>
          <w:rFonts w:hAnsi="宋体" w:cs="Times New Roman" w:hint="eastAsia"/>
        </w:rPr>
        <w:t>下降</w:t>
      </w:r>
      <w:r w:rsidR="00895221">
        <w:rPr>
          <w:rFonts w:hAnsi="宋体" w:cs="Times New Roman" w:hint="eastAsia"/>
        </w:rPr>
        <w:t>53.14</w:t>
      </w:r>
      <w:r>
        <w:rPr>
          <w:rFonts w:hAnsi="宋体" w:cs="Times New Roman" w:hint="eastAsia"/>
        </w:rPr>
        <w:t>%</w:t>
      </w:r>
      <w:r>
        <w:rPr>
          <w:rFonts w:hAnsi="宋体" w:cs="Times New Roman"/>
        </w:rPr>
        <w:t>，实现归属于母公司股东的扣除非经常性损益的净利润</w:t>
      </w:r>
      <w:r w:rsidR="0034689C" w:rsidRPr="0034689C">
        <w:rPr>
          <w:rFonts w:hAnsi="宋体" w:cs="Times New Roman"/>
        </w:rPr>
        <w:t>-113,676.69</w:t>
      </w:r>
      <w:r>
        <w:rPr>
          <w:rFonts w:hAnsi="宋体" w:cs="Times New Roman"/>
        </w:rPr>
        <w:t>万元（20</w:t>
      </w:r>
      <w:r w:rsidR="00AE4EE8">
        <w:rPr>
          <w:rFonts w:hAnsi="宋体" w:cs="Times New Roman"/>
        </w:rPr>
        <w:t>2</w:t>
      </w:r>
      <w:r w:rsidR="00E46E26">
        <w:rPr>
          <w:rFonts w:hAnsi="宋体" w:cs="Times New Roman" w:hint="eastAsia"/>
        </w:rPr>
        <w:t>4</w:t>
      </w:r>
      <w:r>
        <w:rPr>
          <w:rFonts w:hAnsi="宋体" w:cs="Times New Roman"/>
        </w:rPr>
        <w:t>年：</w:t>
      </w:r>
      <w:r w:rsidR="00E46E26" w:rsidRPr="00E46E26">
        <w:rPr>
          <w:rFonts w:hAnsi="宋体" w:cs="Times New Roman"/>
        </w:rPr>
        <w:t>-80,976.81</w:t>
      </w:r>
      <w:r>
        <w:rPr>
          <w:rFonts w:hAnsi="宋体" w:cs="Times New Roman"/>
        </w:rPr>
        <w:t>万元），较上年</w:t>
      </w:r>
      <w:r>
        <w:rPr>
          <w:rFonts w:hAnsi="宋体" w:cs="Times New Roman" w:hint="eastAsia"/>
        </w:rPr>
        <w:t>下降</w:t>
      </w:r>
      <w:r w:rsidR="00895221">
        <w:rPr>
          <w:rFonts w:hAnsi="宋体" w:cs="Times New Roman" w:hint="eastAsia"/>
        </w:rPr>
        <w:t>40.</w:t>
      </w:r>
      <w:r w:rsidR="0034689C">
        <w:rPr>
          <w:rFonts w:hAnsi="宋体" w:cs="Times New Roman" w:hint="eastAsia"/>
        </w:rPr>
        <w:t>38</w:t>
      </w:r>
      <w:r w:rsidR="00F10B0C" w:rsidRPr="00F10B0C">
        <w:rPr>
          <w:rFonts w:hAnsi="宋体" w:cs="Times New Roman"/>
        </w:rPr>
        <w:t>%</w:t>
      </w:r>
      <w:r>
        <w:rPr>
          <w:rFonts w:hAnsi="宋体" w:cs="Times New Roman" w:hint="eastAsia"/>
        </w:rPr>
        <w:t>。</w:t>
      </w:r>
    </w:p>
    <w:p w14:paraId="3180D0E5" w14:textId="5D786DF7"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利润</w:t>
      </w:r>
      <w:r>
        <w:rPr>
          <w:rFonts w:hAnsi="宋体" w:cs="Times New Roman" w:hint="eastAsia"/>
        </w:rPr>
        <w:t>下降</w:t>
      </w:r>
      <w:r>
        <w:rPr>
          <w:rFonts w:hAnsi="宋体" w:cs="Times New Roman"/>
        </w:rPr>
        <w:t>主要</w:t>
      </w:r>
      <w:r w:rsidR="007C44FB">
        <w:rPr>
          <w:rFonts w:hAnsi="宋体" w:cs="Times New Roman" w:hint="eastAsia"/>
        </w:rPr>
        <w:t>原因</w:t>
      </w:r>
      <w:r>
        <w:rPr>
          <w:rFonts w:hAnsi="宋体" w:cs="Times New Roman" w:hint="eastAsia"/>
        </w:rPr>
        <w:t>是</w:t>
      </w:r>
      <w:r w:rsidR="00E46E26" w:rsidRPr="00E46E26">
        <w:rPr>
          <w:rFonts w:hAnsi="宋体" w:cs="Times New Roman" w:hint="eastAsia"/>
        </w:rPr>
        <w:t>受国内宏观经济形势影响，</w:t>
      </w:r>
      <w:proofErr w:type="gramStart"/>
      <w:r w:rsidR="00E46E26" w:rsidRPr="00E46E26">
        <w:rPr>
          <w:rFonts w:hAnsi="宋体" w:cs="Times New Roman" w:hint="eastAsia"/>
        </w:rPr>
        <w:t>危废行业</w:t>
      </w:r>
      <w:proofErr w:type="gramEnd"/>
      <w:r w:rsidR="00E46E26" w:rsidRPr="00E46E26">
        <w:rPr>
          <w:rFonts w:hAnsi="宋体" w:cs="Times New Roman" w:hint="eastAsia"/>
        </w:rPr>
        <w:t>市场竞争格局未明显改善，行业整体仍面临较大经营压力。公司无害化处置业务价格持续下行，导致毛利率同比降低，净利润出现亏损。同时，结合行业发展环境及公司经营实际情况，本期对相关资产计提资产减值损失、信用减值损失，并根据诉讼判决结果</w:t>
      </w:r>
      <w:r w:rsidR="0037274C">
        <w:rPr>
          <w:rFonts w:hAnsi="宋体" w:cs="Times New Roman" w:hint="eastAsia"/>
        </w:rPr>
        <w:t>确认</w:t>
      </w:r>
      <w:r w:rsidR="00E46E26" w:rsidRPr="00E46E26">
        <w:rPr>
          <w:rFonts w:hAnsi="宋体" w:cs="Times New Roman" w:hint="eastAsia"/>
        </w:rPr>
        <w:t>相应损失，上述因素共同对本年度利润产生较大影响。</w:t>
      </w:r>
    </w:p>
    <w:p w14:paraId="35DAAB39" w14:textId="3081E980"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每股收益：202</w:t>
      </w:r>
      <w:r w:rsidR="00E46E26">
        <w:rPr>
          <w:rFonts w:hAnsi="宋体" w:cs="Times New Roman" w:hint="eastAsia"/>
        </w:rPr>
        <w:t>5</w:t>
      </w:r>
      <w:r>
        <w:rPr>
          <w:rFonts w:hAnsi="宋体" w:cs="Times New Roman"/>
        </w:rPr>
        <w:t>年度每股收益为</w:t>
      </w:r>
      <w:r w:rsidR="00E46E26">
        <w:rPr>
          <w:rFonts w:hAnsi="宋体" w:cs="Times New Roman" w:hint="eastAsia"/>
        </w:rPr>
        <w:t>-1.</w:t>
      </w:r>
      <w:r w:rsidR="00895221">
        <w:rPr>
          <w:rFonts w:hAnsi="宋体" w:cs="Times New Roman" w:hint="eastAsia"/>
        </w:rPr>
        <w:t>11</w:t>
      </w:r>
      <w:r>
        <w:rPr>
          <w:rFonts w:hAnsi="宋体" w:cs="Times New Roman"/>
        </w:rPr>
        <w:t>元，较上年</w:t>
      </w:r>
      <w:r w:rsidR="00E46E26">
        <w:rPr>
          <w:rFonts w:hAnsi="宋体" w:cs="Times New Roman" w:hint="eastAsia"/>
        </w:rPr>
        <w:t>下降</w:t>
      </w:r>
      <w:r w:rsidR="00895221">
        <w:rPr>
          <w:rFonts w:hAnsi="宋体" w:cs="Times New Roman" w:hint="eastAsia"/>
        </w:rPr>
        <w:t>52.05</w:t>
      </w:r>
      <w:r>
        <w:rPr>
          <w:rFonts w:hAnsi="宋体" w:cs="Times New Roman"/>
        </w:rPr>
        <w:t>%；扣除非经常性损益后的基本每股收益</w:t>
      </w:r>
      <w:r w:rsidR="006755D7">
        <w:rPr>
          <w:rFonts w:hAnsi="宋体" w:cs="Times New Roman"/>
        </w:rPr>
        <w:t>-</w:t>
      </w:r>
      <w:r w:rsidR="00E46E26">
        <w:rPr>
          <w:rFonts w:hAnsi="宋体" w:cs="Times New Roman" w:hint="eastAsia"/>
        </w:rPr>
        <w:t>1</w:t>
      </w:r>
      <w:r w:rsidR="00895221">
        <w:rPr>
          <w:rFonts w:hAnsi="宋体" w:cs="Times New Roman" w:hint="eastAsia"/>
        </w:rPr>
        <w:t>.03</w:t>
      </w:r>
      <w:r>
        <w:rPr>
          <w:rFonts w:hAnsi="宋体" w:cs="Times New Roman"/>
        </w:rPr>
        <w:t>元，较上年</w:t>
      </w:r>
      <w:r w:rsidR="00733B08">
        <w:rPr>
          <w:rFonts w:hAnsi="宋体" w:cs="Times New Roman" w:hint="eastAsia"/>
        </w:rPr>
        <w:t>-</w:t>
      </w:r>
      <w:r w:rsidR="00733B08">
        <w:rPr>
          <w:rFonts w:hAnsi="宋体" w:cs="Times New Roman"/>
        </w:rPr>
        <w:t>0.</w:t>
      </w:r>
      <w:r w:rsidR="00080DDE">
        <w:rPr>
          <w:rFonts w:hAnsi="宋体" w:cs="Times New Roman"/>
        </w:rPr>
        <w:t>7</w:t>
      </w:r>
      <w:r w:rsidR="00E46E26">
        <w:rPr>
          <w:rFonts w:hAnsi="宋体" w:cs="Times New Roman" w:hint="eastAsia"/>
        </w:rPr>
        <w:t>3</w:t>
      </w:r>
      <w:r>
        <w:rPr>
          <w:rFonts w:hAnsi="宋体" w:cs="Times New Roman"/>
        </w:rPr>
        <w:t>元</w:t>
      </w:r>
      <w:r w:rsidR="00E46E26">
        <w:rPr>
          <w:rFonts w:hAnsi="宋体" w:cs="Times New Roman" w:hint="eastAsia"/>
        </w:rPr>
        <w:t>减少</w:t>
      </w:r>
      <w:r w:rsidR="00733B08">
        <w:rPr>
          <w:rFonts w:hAnsi="宋体" w:cs="Times New Roman"/>
        </w:rPr>
        <w:t>0</w:t>
      </w:r>
      <w:r w:rsidR="006F1AEA">
        <w:rPr>
          <w:rFonts w:hAnsi="宋体" w:cs="Times New Roman"/>
        </w:rPr>
        <w:t>.</w:t>
      </w:r>
      <w:r w:rsidR="00895221">
        <w:rPr>
          <w:rFonts w:hAnsi="宋体" w:cs="Times New Roman" w:hint="eastAsia"/>
        </w:rPr>
        <w:t>30</w:t>
      </w:r>
      <w:r>
        <w:rPr>
          <w:rFonts w:hAnsi="宋体" w:cs="Times New Roman"/>
        </w:rPr>
        <w:t>元/股，</w:t>
      </w:r>
      <w:r w:rsidR="00E46E26">
        <w:rPr>
          <w:rFonts w:hAnsi="宋体" w:cs="Times New Roman" w:hint="eastAsia"/>
        </w:rPr>
        <w:t>下降</w:t>
      </w:r>
      <w:r w:rsidR="00895221">
        <w:rPr>
          <w:rFonts w:hAnsi="宋体" w:cs="Times New Roman" w:hint="eastAsia"/>
        </w:rPr>
        <w:t>41.10</w:t>
      </w:r>
      <w:r>
        <w:rPr>
          <w:rFonts w:hAnsi="宋体" w:cs="Times New Roman"/>
        </w:rPr>
        <w:t>%。</w:t>
      </w:r>
    </w:p>
    <w:p w14:paraId="20E76EDE" w14:textId="7A6B7143" w:rsidR="003B35DC" w:rsidRDefault="00877547" w:rsidP="003A2116">
      <w:pPr>
        <w:pStyle w:val="Default"/>
        <w:spacing w:beforeLines="50" w:before="156" w:afterLines="50" w:after="156" w:line="420" w:lineRule="exact"/>
        <w:ind w:firstLine="420"/>
        <w:jc w:val="both"/>
        <w:rPr>
          <w:rFonts w:hAnsi="宋体" w:cs="Times New Roman" w:hint="eastAsia"/>
        </w:rPr>
      </w:pPr>
      <w:bookmarkStart w:id="10" w:name="_Toc383085093"/>
      <w:bookmarkStart w:id="11" w:name="_Toc383085197"/>
      <w:bookmarkStart w:id="12" w:name="_Toc383092290"/>
      <w:bookmarkStart w:id="13" w:name="_Toc383100567"/>
      <w:bookmarkStart w:id="14" w:name="_Toc383172881"/>
      <w:bookmarkStart w:id="15" w:name="_Toc383176468"/>
      <w:bookmarkStart w:id="16" w:name="_Toc383086125"/>
      <w:bookmarkStart w:id="17" w:name="_Toc414467246"/>
      <w:r>
        <w:rPr>
          <w:rFonts w:hAnsi="宋体" w:cs="Times New Roman"/>
        </w:rPr>
        <w:t>3、期间费用</w:t>
      </w:r>
    </w:p>
    <w:p w14:paraId="4795B55F" w14:textId="77777777" w:rsidR="003B35DC" w:rsidRDefault="00877547" w:rsidP="00783179">
      <w:pPr>
        <w:pStyle w:val="Default"/>
        <w:spacing w:beforeLines="50" w:before="156" w:afterLines="50" w:after="156" w:line="420" w:lineRule="exact"/>
        <w:ind w:firstLine="420"/>
        <w:jc w:val="right"/>
        <w:rPr>
          <w:rFonts w:hAnsi="宋体" w:cs="Times New Roman" w:hint="eastAsia"/>
        </w:rPr>
      </w:pPr>
      <w:r>
        <w:rPr>
          <w:rFonts w:hAnsi="宋体" w:cs="Times New Roman"/>
        </w:rPr>
        <w:t>单位：人民币万元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634"/>
        <w:gridCol w:w="1917"/>
        <w:gridCol w:w="1341"/>
        <w:gridCol w:w="1341"/>
      </w:tblGrid>
      <w:tr w:rsidR="003B35DC" w14:paraId="08503CD3" w14:textId="77777777">
        <w:trPr>
          <w:trHeight w:val="285"/>
        </w:trPr>
        <w:tc>
          <w:tcPr>
            <w:tcW w:w="1249" w:type="pct"/>
            <w:shd w:val="clear" w:color="auto" w:fill="D9D9D9" w:themeFill="background1" w:themeFillShade="D9"/>
            <w:vAlign w:val="center"/>
          </w:tcPr>
          <w:p w14:paraId="555BD627" w14:textId="77777777" w:rsidR="003B35DC" w:rsidRDefault="00877547" w:rsidP="003A2116">
            <w:pPr>
              <w:rPr>
                <w:rFonts w:ascii="宋体" w:hAnsi="宋体" w:hint="eastAsia"/>
                <w:bCs/>
                <w:color w:val="000000"/>
                <w:szCs w:val="21"/>
              </w:rPr>
            </w:pPr>
            <w:r>
              <w:rPr>
                <w:rFonts w:ascii="宋体" w:hAnsi="宋体"/>
                <w:bCs/>
                <w:color w:val="000000"/>
                <w:szCs w:val="21"/>
              </w:rPr>
              <w:t>项  目</w:t>
            </w:r>
          </w:p>
        </w:tc>
        <w:tc>
          <w:tcPr>
            <w:tcW w:w="965" w:type="pct"/>
            <w:shd w:val="clear" w:color="auto" w:fill="D9D9D9" w:themeFill="background1" w:themeFillShade="D9"/>
            <w:noWrap/>
            <w:vAlign w:val="center"/>
          </w:tcPr>
          <w:p w14:paraId="3F336B70" w14:textId="2799B852" w:rsidR="003B35DC" w:rsidRDefault="00877547" w:rsidP="00AD4F84">
            <w:pPr>
              <w:rPr>
                <w:rFonts w:ascii="宋体" w:hAnsi="宋体" w:hint="eastAsia"/>
                <w:bCs/>
                <w:color w:val="000000"/>
                <w:szCs w:val="21"/>
              </w:rPr>
            </w:pPr>
            <w:r>
              <w:rPr>
                <w:rFonts w:ascii="宋体" w:hAnsi="宋体"/>
                <w:bCs/>
                <w:color w:val="000000"/>
                <w:szCs w:val="21"/>
              </w:rPr>
              <w:t>202</w:t>
            </w:r>
            <w:r w:rsidR="00AB18C3">
              <w:rPr>
                <w:rFonts w:ascii="宋体" w:hAnsi="宋体" w:hint="eastAsia"/>
                <w:bCs/>
                <w:color w:val="000000"/>
                <w:szCs w:val="21"/>
              </w:rPr>
              <w:t>5</w:t>
            </w:r>
            <w:r>
              <w:rPr>
                <w:rFonts w:ascii="宋体" w:hAnsi="宋体"/>
                <w:bCs/>
                <w:color w:val="000000"/>
                <w:szCs w:val="21"/>
              </w:rPr>
              <w:t>年1-12月</w:t>
            </w:r>
          </w:p>
        </w:tc>
        <w:tc>
          <w:tcPr>
            <w:tcW w:w="1160" w:type="pct"/>
            <w:shd w:val="clear" w:color="auto" w:fill="D9D9D9" w:themeFill="background1" w:themeFillShade="D9"/>
            <w:vAlign w:val="center"/>
          </w:tcPr>
          <w:p w14:paraId="32AD764A" w14:textId="163A0E1E" w:rsidR="003B35DC" w:rsidRDefault="00877547" w:rsidP="00AD4F84">
            <w:pPr>
              <w:rPr>
                <w:rFonts w:ascii="宋体" w:hAnsi="宋体" w:hint="eastAsia"/>
                <w:bCs/>
                <w:color w:val="000000"/>
                <w:szCs w:val="21"/>
              </w:rPr>
            </w:pPr>
            <w:r>
              <w:rPr>
                <w:rFonts w:ascii="宋体" w:hAnsi="宋体"/>
                <w:bCs/>
                <w:color w:val="000000"/>
                <w:szCs w:val="21"/>
              </w:rPr>
              <w:t>20</w:t>
            </w:r>
            <w:r w:rsidR="005F50CC">
              <w:rPr>
                <w:rFonts w:ascii="宋体" w:hAnsi="宋体"/>
                <w:bCs/>
                <w:color w:val="000000"/>
                <w:szCs w:val="21"/>
              </w:rPr>
              <w:t>2</w:t>
            </w:r>
            <w:r w:rsidR="00AB18C3">
              <w:rPr>
                <w:rFonts w:ascii="宋体" w:hAnsi="宋体" w:hint="eastAsia"/>
                <w:bCs/>
                <w:color w:val="000000"/>
                <w:szCs w:val="21"/>
              </w:rPr>
              <w:t>4</w:t>
            </w:r>
            <w:r>
              <w:rPr>
                <w:rFonts w:ascii="宋体" w:hAnsi="宋体"/>
                <w:bCs/>
                <w:color w:val="000000"/>
                <w:szCs w:val="21"/>
              </w:rPr>
              <w:t>年1-12月</w:t>
            </w:r>
          </w:p>
        </w:tc>
        <w:tc>
          <w:tcPr>
            <w:tcW w:w="813" w:type="pct"/>
            <w:shd w:val="clear" w:color="auto" w:fill="D9D9D9" w:themeFill="background1" w:themeFillShade="D9"/>
            <w:vAlign w:val="center"/>
          </w:tcPr>
          <w:p w14:paraId="439FBD1D" w14:textId="77777777" w:rsidR="003B35DC" w:rsidRDefault="00877547" w:rsidP="003A2116">
            <w:pPr>
              <w:rPr>
                <w:rFonts w:ascii="宋体" w:hAnsi="宋体" w:hint="eastAsia"/>
                <w:bCs/>
                <w:color w:val="000000"/>
                <w:szCs w:val="21"/>
              </w:rPr>
            </w:pPr>
            <w:r>
              <w:rPr>
                <w:rFonts w:ascii="宋体" w:hAnsi="宋体"/>
                <w:color w:val="000000"/>
                <w:kern w:val="0"/>
                <w:szCs w:val="21"/>
              </w:rPr>
              <w:t>增减金额</w:t>
            </w:r>
          </w:p>
        </w:tc>
        <w:tc>
          <w:tcPr>
            <w:tcW w:w="813" w:type="pct"/>
            <w:shd w:val="clear" w:color="auto" w:fill="D9D9D9" w:themeFill="background1" w:themeFillShade="D9"/>
            <w:vAlign w:val="center"/>
          </w:tcPr>
          <w:p w14:paraId="6226DF45" w14:textId="77777777" w:rsidR="003B35DC" w:rsidRDefault="00877547" w:rsidP="003A2116">
            <w:pPr>
              <w:rPr>
                <w:rFonts w:ascii="宋体" w:hAnsi="宋体" w:hint="eastAsia"/>
                <w:bCs/>
                <w:color w:val="000000"/>
                <w:szCs w:val="21"/>
              </w:rPr>
            </w:pPr>
            <w:r>
              <w:rPr>
                <w:rFonts w:ascii="宋体" w:hAnsi="宋体"/>
                <w:color w:val="000000"/>
                <w:kern w:val="0"/>
                <w:szCs w:val="21"/>
              </w:rPr>
              <w:t>同比增减率</w:t>
            </w:r>
          </w:p>
        </w:tc>
      </w:tr>
      <w:tr w:rsidR="008B26A2" w14:paraId="3401EC5C" w14:textId="77777777" w:rsidTr="008B26A2">
        <w:trPr>
          <w:trHeight w:val="285"/>
        </w:trPr>
        <w:tc>
          <w:tcPr>
            <w:tcW w:w="1249" w:type="pct"/>
            <w:vAlign w:val="center"/>
          </w:tcPr>
          <w:p w14:paraId="093A2D91" w14:textId="77777777" w:rsidR="008B26A2" w:rsidRDefault="008B26A2" w:rsidP="008B26A2">
            <w:pPr>
              <w:rPr>
                <w:rFonts w:ascii="宋体" w:hAnsi="宋体" w:hint="eastAsia"/>
                <w:color w:val="000000"/>
                <w:szCs w:val="21"/>
              </w:rPr>
            </w:pPr>
            <w:r>
              <w:rPr>
                <w:rFonts w:ascii="宋体" w:hAnsi="宋体"/>
                <w:color w:val="000000"/>
                <w:szCs w:val="21"/>
              </w:rPr>
              <w:t>销售费用</w:t>
            </w:r>
          </w:p>
        </w:tc>
        <w:tc>
          <w:tcPr>
            <w:tcW w:w="965" w:type="pct"/>
            <w:vAlign w:val="center"/>
          </w:tcPr>
          <w:p w14:paraId="17F2CF06" w14:textId="265B0BF6"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10,369</w:t>
            </w:r>
          </w:p>
        </w:tc>
        <w:tc>
          <w:tcPr>
            <w:tcW w:w="1160" w:type="pct"/>
            <w:vAlign w:val="center"/>
          </w:tcPr>
          <w:p w14:paraId="58FCC742" w14:textId="61F819D4"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8,694</w:t>
            </w:r>
          </w:p>
        </w:tc>
        <w:tc>
          <w:tcPr>
            <w:tcW w:w="813" w:type="pct"/>
            <w:vAlign w:val="center"/>
          </w:tcPr>
          <w:p w14:paraId="74752403" w14:textId="588D596B"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1,675</w:t>
            </w:r>
          </w:p>
        </w:tc>
        <w:tc>
          <w:tcPr>
            <w:tcW w:w="813" w:type="pct"/>
            <w:vAlign w:val="center"/>
          </w:tcPr>
          <w:p w14:paraId="4CF37CA7" w14:textId="0704913E"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19.27%</w:t>
            </w:r>
          </w:p>
        </w:tc>
      </w:tr>
      <w:tr w:rsidR="008B26A2" w14:paraId="518D40A2" w14:textId="77777777" w:rsidTr="008B26A2">
        <w:trPr>
          <w:trHeight w:val="285"/>
        </w:trPr>
        <w:tc>
          <w:tcPr>
            <w:tcW w:w="1249" w:type="pct"/>
            <w:vAlign w:val="center"/>
          </w:tcPr>
          <w:p w14:paraId="48D54928" w14:textId="77777777" w:rsidR="008B26A2" w:rsidRDefault="008B26A2" w:rsidP="008B26A2">
            <w:pPr>
              <w:rPr>
                <w:rFonts w:ascii="宋体" w:hAnsi="宋体" w:hint="eastAsia"/>
                <w:color w:val="000000"/>
                <w:szCs w:val="21"/>
              </w:rPr>
            </w:pPr>
            <w:r>
              <w:rPr>
                <w:rFonts w:ascii="宋体" w:hAnsi="宋体"/>
                <w:color w:val="000000"/>
                <w:szCs w:val="21"/>
              </w:rPr>
              <w:t>管理费用</w:t>
            </w:r>
          </w:p>
        </w:tc>
        <w:tc>
          <w:tcPr>
            <w:tcW w:w="965" w:type="pct"/>
            <w:vAlign w:val="center"/>
          </w:tcPr>
          <w:p w14:paraId="3964652A" w14:textId="44A64497"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38,134</w:t>
            </w:r>
          </w:p>
        </w:tc>
        <w:tc>
          <w:tcPr>
            <w:tcW w:w="1160" w:type="pct"/>
            <w:vAlign w:val="center"/>
          </w:tcPr>
          <w:p w14:paraId="5B89C9BB" w14:textId="1B345360"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39,493</w:t>
            </w:r>
          </w:p>
        </w:tc>
        <w:tc>
          <w:tcPr>
            <w:tcW w:w="813" w:type="pct"/>
            <w:vAlign w:val="center"/>
          </w:tcPr>
          <w:p w14:paraId="500D0418" w14:textId="67FE0469"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-1,359</w:t>
            </w:r>
          </w:p>
        </w:tc>
        <w:tc>
          <w:tcPr>
            <w:tcW w:w="813" w:type="pct"/>
            <w:vAlign w:val="center"/>
          </w:tcPr>
          <w:p w14:paraId="1E62DB8C" w14:textId="61E92E3F"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-3.44%</w:t>
            </w:r>
          </w:p>
        </w:tc>
      </w:tr>
      <w:tr w:rsidR="008B26A2" w14:paraId="71B5CC4F" w14:textId="77777777" w:rsidTr="008B26A2">
        <w:trPr>
          <w:trHeight w:val="58"/>
        </w:trPr>
        <w:tc>
          <w:tcPr>
            <w:tcW w:w="1249" w:type="pct"/>
            <w:vAlign w:val="center"/>
          </w:tcPr>
          <w:p w14:paraId="32F5583A" w14:textId="77777777" w:rsidR="008B26A2" w:rsidRDefault="008B26A2" w:rsidP="008B26A2">
            <w:pPr>
              <w:rPr>
                <w:rFonts w:ascii="宋体" w:hAnsi="宋体" w:hint="eastAsia"/>
                <w:color w:val="000000"/>
                <w:szCs w:val="21"/>
              </w:rPr>
            </w:pPr>
            <w:r>
              <w:rPr>
                <w:rFonts w:ascii="宋体" w:hAnsi="宋体" w:hint="eastAsia"/>
                <w:color w:val="000000"/>
                <w:szCs w:val="21"/>
              </w:rPr>
              <w:t>研发费用</w:t>
            </w:r>
          </w:p>
        </w:tc>
        <w:tc>
          <w:tcPr>
            <w:tcW w:w="965" w:type="pct"/>
            <w:vAlign w:val="center"/>
          </w:tcPr>
          <w:p w14:paraId="09466697" w14:textId="1CF4D277"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12,177</w:t>
            </w:r>
          </w:p>
        </w:tc>
        <w:tc>
          <w:tcPr>
            <w:tcW w:w="1160" w:type="pct"/>
            <w:vAlign w:val="center"/>
          </w:tcPr>
          <w:p w14:paraId="6CDA6733" w14:textId="291F1F7E"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11,502</w:t>
            </w:r>
          </w:p>
        </w:tc>
        <w:tc>
          <w:tcPr>
            <w:tcW w:w="813" w:type="pct"/>
            <w:vAlign w:val="center"/>
          </w:tcPr>
          <w:p w14:paraId="11B60026" w14:textId="0E892CAD"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675</w:t>
            </w:r>
          </w:p>
        </w:tc>
        <w:tc>
          <w:tcPr>
            <w:tcW w:w="813" w:type="pct"/>
            <w:vAlign w:val="center"/>
          </w:tcPr>
          <w:p w14:paraId="0E306595" w14:textId="3A7506C5"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5.87%</w:t>
            </w:r>
          </w:p>
        </w:tc>
      </w:tr>
      <w:tr w:rsidR="008B26A2" w14:paraId="52093F5F" w14:textId="77777777" w:rsidTr="008B26A2">
        <w:trPr>
          <w:trHeight w:val="285"/>
        </w:trPr>
        <w:tc>
          <w:tcPr>
            <w:tcW w:w="1249" w:type="pct"/>
            <w:vAlign w:val="center"/>
          </w:tcPr>
          <w:p w14:paraId="666BE1F7" w14:textId="77777777" w:rsidR="008B26A2" w:rsidRDefault="008B26A2" w:rsidP="008B26A2">
            <w:pPr>
              <w:rPr>
                <w:rFonts w:ascii="宋体" w:hAnsi="宋体" w:hint="eastAsia"/>
                <w:color w:val="000000"/>
                <w:szCs w:val="21"/>
              </w:rPr>
            </w:pPr>
            <w:r>
              <w:rPr>
                <w:rFonts w:ascii="宋体" w:hAnsi="宋体"/>
                <w:color w:val="000000"/>
                <w:szCs w:val="21"/>
              </w:rPr>
              <w:t>财务费用</w:t>
            </w:r>
          </w:p>
        </w:tc>
        <w:tc>
          <w:tcPr>
            <w:tcW w:w="965" w:type="pct"/>
            <w:vAlign w:val="center"/>
          </w:tcPr>
          <w:p w14:paraId="53C8B6E4" w14:textId="064FBE76"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18,078</w:t>
            </w:r>
          </w:p>
        </w:tc>
        <w:tc>
          <w:tcPr>
            <w:tcW w:w="1160" w:type="pct"/>
            <w:vAlign w:val="center"/>
          </w:tcPr>
          <w:p w14:paraId="561D33D3" w14:textId="0D0D8F98"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18,578</w:t>
            </w:r>
          </w:p>
        </w:tc>
        <w:tc>
          <w:tcPr>
            <w:tcW w:w="813" w:type="pct"/>
            <w:vAlign w:val="center"/>
          </w:tcPr>
          <w:p w14:paraId="395A0E2E" w14:textId="2DF79BFE"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-500</w:t>
            </w:r>
          </w:p>
        </w:tc>
        <w:tc>
          <w:tcPr>
            <w:tcW w:w="813" w:type="pct"/>
            <w:vAlign w:val="center"/>
          </w:tcPr>
          <w:p w14:paraId="4EDEBD19" w14:textId="144F28C8"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-2.69%</w:t>
            </w:r>
          </w:p>
        </w:tc>
      </w:tr>
      <w:tr w:rsidR="008B26A2" w14:paraId="2B24B30B" w14:textId="77777777" w:rsidTr="008B26A2">
        <w:trPr>
          <w:trHeight w:val="285"/>
        </w:trPr>
        <w:tc>
          <w:tcPr>
            <w:tcW w:w="1249" w:type="pct"/>
            <w:vAlign w:val="center"/>
          </w:tcPr>
          <w:p w14:paraId="47D110CE" w14:textId="77777777" w:rsidR="008B26A2" w:rsidRDefault="008B26A2" w:rsidP="008B26A2">
            <w:pPr>
              <w:rPr>
                <w:rFonts w:ascii="宋体" w:hAnsi="宋体" w:hint="eastAsia"/>
                <w:color w:val="000000"/>
                <w:szCs w:val="21"/>
              </w:rPr>
            </w:pPr>
            <w:r>
              <w:rPr>
                <w:rFonts w:ascii="宋体" w:hAnsi="宋体"/>
                <w:color w:val="000000"/>
                <w:szCs w:val="21"/>
              </w:rPr>
              <w:t>合   计</w:t>
            </w:r>
          </w:p>
        </w:tc>
        <w:tc>
          <w:tcPr>
            <w:tcW w:w="965" w:type="pct"/>
            <w:vAlign w:val="center"/>
          </w:tcPr>
          <w:p w14:paraId="3A7E7AE4" w14:textId="096CD22A"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78,758</w:t>
            </w:r>
          </w:p>
        </w:tc>
        <w:tc>
          <w:tcPr>
            <w:tcW w:w="1160" w:type="pct"/>
            <w:vAlign w:val="center"/>
          </w:tcPr>
          <w:p w14:paraId="213D3E51" w14:textId="30B0C9C7"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78,267</w:t>
            </w:r>
          </w:p>
        </w:tc>
        <w:tc>
          <w:tcPr>
            <w:tcW w:w="813" w:type="pct"/>
            <w:vAlign w:val="center"/>
          </w:tcPr>
          <w:p w14:paraId="458C79D3" w14:textId="02D4D37B"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491</w:t>
            </w:r>
          </w:p>
        </w:tc>
        <w:tc>
          <w:tcPr>
            <w:tcW w:w="813" w:type="pct"/>
            <w:vAlign w:val="center"/>
          </w:tcPr>
          <w:p w14:paraId="392A69AC" w14:textId="582154A8"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0.63%</w:t>
            </w:r>
          </w:p>
        </w:tc>
      </w:tr>
      <w:tr w:rsidR="008B26A2" w14:paraId="1B1597D1" w14:textId="77777777" w:rsidTr="008B26A2">
        <w:trPr>
          <w:trHeight w:val="495"/>
        </w:trPr>
        <w:tc>
          <w:tcPr>
            <w:tcW w:w="1249" w:type="pct"/>
            <w:vAlign w:val="center"/>
          </w:tcPr>
          <w:p w14:paraId="39F57261" w14:textId="77777777" w:rsidR="008B26A2" w:rsidRDefault="008B26A2" w:rsidP="008B26A2">
            <w:pPr>
              <w:rPr>
                <w:rFonts w:ascii="宋体" w:hAnsi="宋体" w:hint="eastAsia"/>
                <w:color w:val="000000"/>
                <w:szCs w:val="21"/>
              </w:rPr>
            </w:pPr>
            <w:r>
              <w:rPr>
                <w:rFonts w:ascii="宋体" w:hAnsi="宋体" w:hint="eastAsia"/>
                <w:color w:val="000000"/>
                <w:szCs w:val="21"/>
              </w:rPr>
              <w:t>期间</w:t>
            </w:r>
            <w:r>
              <w:rPr>
                <w:rFonts w:ascii="宋体" w:hAnsi="宋体"/>
                <w:color w:val="000000"/>
                <w:szCs w:val="21"/>
              </w:rPr>
              <w:t>费用占收入比例</w:t>
            </w:r>
          </w:p>
        </w:tc>
        <w:tc>
          <w:tcPr>
            <w:tcW w:w="965" w:type="pct"/>
            <w:vAlign w:val="center"/>
          </w:tcPr>
          <w:p w14:paraId="1831D4B9" w14:textId="1886E25D"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22.78%</w:t>
            </w:r>
          </w:p>
        </w:tc>
        <w:tc>
          <w:tcPr>
            <w:tcW w:w="1160" w:type="pct"/>
            <w:vAlign w:val="center"/>
          </w:tcPr>
          <w:p w14:paraId="4ABA7CBF" w14:textId="5F60C65C"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22.45%</w:t>
            </w:r>
          </w:p>
        </w:tc>
        <w:tc>
          <w:tcPr>
            <w:tcW w:w="813" w:type="pct"/>
            <w:vAlign w:val="center"/>
          </w:tcPr>
          <w:p w14:paraId="6F50866C" w14:textId="7A2A85F6"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w:t>
            </w:r>
          </w:p>
        </w:tc>
        <w:tc>
          <w:tcPr>
            <w:tcW w:w="813" w:type="pct"/>
            <w:vAlign w:val="center"/>
          </w:tcPr>
          <w:p w14:paraId="7F41D1AB" w14:textId="6CEC50DB"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0.33%</w:t>
            </w:r>
          </w:p>
        </w:tc>
      </w:tr>
    </w:tbl>
    <w:p w14:paraId="266DE8CC" w14:textId="456BD485"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（1）销售费用</w:t>
      </w:r>
      <w:r w:rsidR="00AB5D26">
        <w:rPr>
          <w:rFonts w:hAnsi="宋体" w:hint="eastAsia"/>
          <w:szCs w:val="21"/>
        </w:rPr>
        <w:t>10</w:t>
      </w:r>
      <w:r w:rsidR="00E0534E" w:rsidRPr="00417C3D">
        <w:rPr>
          <w:rFonts w:hAnsi="宋体"/>
          <w:szCs w:val="21"/>
        </w:rPr>
        <w:t>,</w:t>
      </w:r>
      <w:r w:rsidR="00AB5D26">
        <w:rPr>
          <w:rFonts w:hAnsi="宋体" w:hint="eastAsia"/>
          <w:szCs w:val="21"/>
        </w:rPr>
        <w:t>369</w:t>
      </w:r>
      <w:r>
        <w:rPr>
          <w:rFonts w:hAnsi="宋体" w:cs="Times New Roman"/>
        </w:rPr>
        <w:t>万元，较上年度</w:t>
      </w:r>
      <w:r w:rsidR="00AB5D26">
        <w:rPr>
          <w:rFonts w:hAnsi="宋体" w:cs="Times New Roman" w:hint="eastAsia"/>
        </w:rPr>
        <w:t>上升19.27</w:t>
      </w:r>
      <w:r w:rsidR="00D130A0">
        <w:rPr>
          <w:rFonts w:hAnsi="宋体" w:cs="Times New Roman"/>
        </w:rPr>
        <w:t>%</w:t>
      </w:r>
      <w:r>
        <w:rPr>
          <w:rFonts w:hAnsi="宋体" w:cs="Times New Roman"/>
        </w:rPr>
        <w:t>，</w:t>
      </w:r>
      <w:r>
        <w:rPr>
          <w:rFonts w:hAnsi="宋体" w:cs="Times New Roman" w:hint="eastAsia"/>
        </w:rPr>
        <w:t>占收入的比例</w:t>
      </w:r>
      <w:r w:rsidR="00E33B74">
        <w:rPr>
          <w:rFonts w:hAnsi="宋体" w:cs="Times New Roman" w:hint="eastAsia"/>
        </w:rPr>
        <w:t>增长0</w:t>
      </w:r>
      <w:r w:rsidR="00E33B74">
        <w:rPr>
          <w:rFonts w:hAnsi="宋体" w:cs="Times New Roman"/>
        </w:rPr>
        <w:t>.</w:t>
      </w:r>
      <w:r w:rsidR="004456A8">
        <w:rPr>
          <w:rFonts w:hAnsi="宋体" w:cs="Times New Roman" w:hint="eastAsia"/>
        </w:rPr>
        <w:t>51</w:t>
      </w:r>
      <w:r>
        <w:rPr>
          <w:rFonts w:hAnsi="宋体" w:cs="Times New Roman" w:hint="eastAsia"/>
        </w:rPr>
        <w:t>个百分点</w:t>
      </w:r>
      <w:r>
        <w:rPr>
          <w:rFonts w:hAnsi="宋体" w:cs="Times New Roman"/>
        </w:rPr>
        <w:t>。销售费用</w:t>
      </w:r>
      <w:r w:rsidR="004456A8">
        <w:rPr>
          <w:rFonts w:hAnsi="宋体" w:cs="Times New Roman" w:hint="eastAsia"/>
        </w:rPr>
        <w:t>增长</w:t>
      </w:r>
      <w:r>
        <w:rPr>
          <w:rFonts w:hAnsi="宋体" w:cs="Times New Roman" w:hint="eastAsia"/>
        </w:rPr>
        <w:t>主要</w:t>
      </w:r>
      <w:r w:rsidR="006253B4">
        <w:rPr>
          <w:rFonts w:hAnsi="宋体" w:cs="Times New Roman" w:hint="eastAsia"/>
        </w:rPr>
        <w:t>公司</w:t>
      </w:r>
      <w:r w:rsidR="004456A8">
        <w:rPr>
          <w:rFonts w:hAnsi="宋体" w:cs="Times New Roman" w:hint="eastAsia"/>
        </w:rPr>
        <w:t>报告期内市场销售人员薪酬增加所致</w:t>
      </w:r>
      <w:r>
        <w:rPr>
          <w:rFonts w:hAnsi="宋体" w:cs="Times New Roman"/>
        </w:rPr>
        <w:t>。</w:t>
      </w:r>
    </w:p>
    <w:p w14:paraId="6188929B" w14:textId="7EA20D62"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（2）管理费用</w:t>
      </w:r>
      <w:r w:rsidR="006253B4" w:rsidRPr="006253B4">
        <w:rPr>
          <w:rFonts w:hAnsi="宋体" w:cs="Times New Roman"/>
        </w:rPr>
        <w:t>3</w:t>
      </w:r>
      <w:r w:rsidR="004456A8">
        <w:rPr>
          <w:rFonts w:hAnsi="宋体" w:cs="Times New Roman" w:hint="eastAsia"/>
        </w:rPr>
        <w:t>8</w:t>
      </w:r>
      <w:r w:rsidR="006253B4" w:rsidRPr="006253B4">
        <w:rPr>
          <w:rFonts w:hAnsi="宋体" w:cs="Times New Roman"/>
        </w:rPr>
        <w:t>,</w:t>
      </w:r>
      <w:r w:rsidR="008B26A2">
        <w:rPr>
          <w:rFonts w:hAnsi="宋体" w:cs="Times New Roman" w:hint="eastAsia"/>
        </w:rPr>
        <w:t>134</w:t>
      </w:r>
      <w:r>
        <w:rPr>
          <w:rFonts w:hAnsi="宋体" w:cs="Times New Roman"/>
        </w:rPr>
        <w:t>万元，较上年</w:t>
      </w:r>
      <w:r w:rsidR="00E05807">
        <w:rPr>
          <w:rFonts w:hAnsi="宋体" w:cs="Times New Roman" w:hint="eastAsia"/>
        </w:rPr>
        <w:t>下降</w:t>
      </w:r>
      <w:r w:rsidR="004456A8">
        <w:rPr>
          <w:rFonts w:hAnsi="宋体" w:cs="Times New Roman" w:hint="eastAsia"/>
        </w:rPr>
        <w:t>3.</w:t>
      </w:r>
      <w:r w:rsidR="008B26A2">
        <w:rPr>
          <w:rFonts w:hAnsi="宋体" w:cs="Times New Roman" w:hint="eastAsia"/>
        </w:rPr>
        <w:t>44</w:t>
      </w:r>
      <w:r>
        <w:rPr>
          <w:rFonts w:hAnsi="宋体" w:cs="Times New Roman"/>
        </w:rPr>
        <w:t>%，</w:t>
      </w:r>
      <w:r>
        <w:rPr>
          <w:rFonts w:hAnsi="宋体" w:cs="Times New Roman" w:hint="eastAsia"/>
        </w:rPr>
        <w:t>占收入的比例</w:t>
      </w:r>
      <w:r w:rsidR="004456A8">
        <w:rPr>
          <w:rFonts w:hAnsi="宋体" w:cs="Times New Roman" w:hint="eastAsia"/>
        </w:rPr>
        <w:t>下降0.3</w:t>
      </w:r>
      <w:r w:rsidR="008B26A2">
        <w:rPr>
          <w:rFonts w:hAnsi="宋体" w:cs="Times New Roman" w:hint="eastAsia"/>
        </w:rPr>
        <w:t>0</w:t>
      </w:r>
      <w:r>
        <w:rPr>
          <w:rFonts w:hAnsi="宋体" w:cs="Times New Roman"/>
        </w:rPr>
        <w:t>个百</w:t>
      </w:r>
      <w:r>
        <w:rPr>
          <w:rFonts w:hAnsi="宋体" w:cs="Times New Roman"/>
        </w:rPr>
        <w:lastRenderedPageBreak/>
        <w:t>分点</w:t>
      </w:r>
      <w:r>
        <w:rPr>
          <w:rFonts w:hAnsi="宋体" w:cs="Times New Roman" w:hint="eastAsia"/>
        </w:rPr>
        <w:t>。</w:t>
      </w:r>
      <w:r w:rsidR="00EC18B2" w:rsidRPr="00EC18B2">
        <w:rPr>
          <w:rFonts w:hAnsi="宋体" w:cs="Times New Roman" w:hint="eastAsia"/>
        </w:rPr>
        <w:t>报告期内公司通过有效管控，管理费用有所下降</w:t>
      </w:r>
      <w:r>
        <w:rPr>
          <w:rFonts w:hAnsi="宋体" w:cs="Times New Roman" w:hint="eastAsia"/>
        </w:rPr>
        <w:t>。</w:t>
      </w:r>
    </w:p>
    <w:p w14:paraId="4F6D1C80" w14:textId="701F8DB8"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（3）</w:t>
      </w:r>
      <w:r>
        <w:rPr>
          <w:rFonts w:hAnsi="宋体" w:cs="Times New Roman" w:hint="eastAsia"/>
        </w:rPr>
        <w:t>研发费用</w:t>
      </w:r>
      <w:r w:rsidR="006253B4" w:rsidRPr="006253B4">
        <w:rPr>
          <w:rFonts w:hAnsi="宋体"/>
          <w:szCs w:val="21"/>
        </w:rPr>
        <w:t>1</w:t>
      </w:r>
      <w:r w:rsidR="00EC18B2">
        <w:rPr>
          <w:rFonts w:hAnsi="宋体" w:hint="eastAsia"/>
          <w:szCs w:val="21"/>
        </w:rPr>
        <w:t>2</w:t>
      </w:r>
      <w:r w:rsidR="006253B4" w:rsidRPr="006253B4">
        <w:rPr>
          <w:rFonts w:hAnsi="宋体"/>
          <w:szCs w:val="21"/>
        </w:rPr>
        <w:t>,</w:t>
      </w:r>
      <w:r w:rsidR="00EC18B2">
        <w:rPr>
          <w:rFonts w:hAnsi="宋体" w:hint="eastAsia"/>
          <w:szCs w:val="21"/>
        </w:rPr>
        <w:t>17</w:t>
      </w:r>
      <w:r w:rsidR="00182232">
        <w:rPr>
          <w:rFonts w:hAnsi="宋体" w:hint="eastAsia"/>
          <w:szCs w:val="21"/>
        </w:rPr>
        <w:t>7</w:t>
      </w:r>
      <w:r>
        <w:rPr>
          <w:rFonts w:hAnsi="宋体" w:cs="Times New Roman" w:hint="eastAsia"/>
        </w:rPr>
        <w:t>万元，较上年度</w:t>
      </w:r>
      <w:r w:rsidR="00EC18B2">
        <w:rPr>
          <w:rFonts w:hAnsi="宋体" w:cs="Times New Roman" w:hint="eastAsia"/>
        </w:rPr>
        <w:t>上升5.8</w:t>
      </w:r>
      <w:r w:rsidR="00182232">
        <w:rPr>
          <w:rFonts w:hAnsi="宋体" w:cs="Times New Roman" w:hint="eastAsia"/>
        </w:rPr>
        <w:t>7</w:t>
      </w:r>
      <w:r>
        <w:rPr>
          <w:rFonts w:hAnsi="宋体" w:cs="Times New Roman" w:hint="eastAsia"/>
        </w:rPr>
        <w:t>%，</w:t>
      </w:r>
      <w:r>
        <w:rPr>
          <w:rFonts w:hAnsi="宋体" w:cs="Times New Roman"/>
        </w:rPr>
        <w:t>占收入比例</w:t>
      </w:r>
      <w:r w:rsidR="0037274C">
        <w:rPr>
          <w:rFonts w:hAnsi="宋体" w:cs="Times New Roman" w:hint="eastAsia"/>
        </w:rPr>
        <w:t>增长</w:t>
      </w:r>
      <w:r w:rsidR="00EC18B2">
        <w:rPr>
          <w:rFonts w:hAnsi="宋体" w:cs="Times New Roman" w:hint="eastAsia"/>
        </w:rPr>
        <w:t>0.22</w:t>
      </w:r>
      <w:r>
        <w:rPr>
          <w:rFonts w:hAnsi="宋体" w:cs="Times New Roman"/>
        </w:rPr>
        <w:t>个百分点</w:t>
      </w:r>
      <w:r w:rsidR="008D7C28">
        <w:rPr>
          <w:rFonts w:hAnsi="宋体" w:cs="Times New Roman" w:hint="eastAsia"/>
        </w:rPr>
        <w:t>，</w:t>
      </w:r>
      <w:r w:rsidR="003328EE">
        <w:rPr>
          <w:rFonts w:hAnsi="宋体" w:cs="Times New Roman" w:hint="eastAsia"/>
        </w:rPr>
        <w:t>研发费用</w:t>
      </w:r>
      <w:r w:rsidR="00EC18B2">
        <w:rPr>
          <w:rFonts w:hAnsi="宋体" w:cs="Times New Roman" w:hint="eastAsia"/>
        </w:rPr>
        <w:t>上升</w:t>
      </w:r>
      <w:r w:rsidR="003328EE">
        <w:rPr>
          <w:rFonts w:hAnsi="宋体" w:cs="Times New Roman" w:hint="eastAsia"/>
        </w:rPr>
        <w:t>主要是公司研发项目投入</w:t>
      </w:r>
      <w:r w:rsidR="00EC18B2">
        <w:rPr>
          <w:rFonts w:hAnsi="宋体" w:cs="Times New Roman" w:hint="eastAsia"/>
        </w:rPr>
        <w:t>增加</w:t>
      </w:r>
      <w:r w:rsidR="003328EE">
        <w:rPr>
          <w:rFonts w:hAnsi="宋体" w:cs="Times New Roman" w:hint="eastAsia"/>
        </w:rPr>
        <w:t>所致</w:t>
      </w:r>
      <w:r w:rsidR="00E0534E" w:rsidRPr="00E0534E">
        <w:rPr>
          <w:rFonts w:hAnsi="宋体" w:cs="Times New Roman" w:hint="eastAsia"/>
        </w:rPr>
        <w:t>。</w:t>
      </w:r>
    </w:p>
    <w:p w14:paraId="27EB2C53" w14:textId="7713D738"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（3）财务费用</w:t>
      </w:r>
      <w:r w:rsidR="006253B4" w:rsidRPr="006253B4">
        <w:rPr>
          <w:rFonts w:hAnsi="宋体" w:cs="Times New Roman"/>
        </w:rPr>
        <w:t>1</w:t>
      </w:r>
      <w:r w:rsidR="00EC18B2">
        <w:rPr>
          <w:rFonts w:hAnsi="宋体" w:cs="Times New Roman" w:hint="eastAsia"/>
        </w:rPr>
        <w:t>8</w:t>
      </w:r>
      <w:r w:rsidR="006253B4" w:rsidRPr="006253B4">
        <w:rPr>
          <w:rFonts w:hAnsi="宋体" w:cs="Times New Roman"/>
        </w:rPr>
        <w:t>,</w:t>
      </w:r>
      <w:r w:rsidR="00EC18B2">
        <w:rPr>
          <w:rFonts w:hAnsi="宋体" w:cs="Times New Roman" w:hint="eastAsia"/>
        </w:rPr>
        <w:t>07</w:t>
      </w:r>
      <w:r w:rsidR="008B26A2">
        <w:rPr>
          <w:rFonts w:hAnsi="宋体" w:cs="Times New Roman" w:hint="eastAsia"/>
        </w:rPr>
        <w:t>8</w:t>
      </w:r>
      <w:r w:rsidR="00E0534E">
        <w:rPr>
          <w:rFonts w:hAnsi="宋体" w:cs="Times New Roman" w:hint="eastAsia"/>
        </w:rPr>
        <w:t>万元，</w:t>
      </w:r>
      <w:r>
        <w:rPr>
          <w:rFonts w:hAnsi="宋体" w:cs="Times New Roman"/>
        </w:rPr>
        <w:t>较上年度</w:t>
      </w:r>
      <w:r w:rsidR="00EC18B2">
        <w:rPr>
          <w:rFonts w:hAnsi="宋体" w:cs="Times New Roman" w:hint="eastAsia"/>
        </w:rPr>
        <w:t>减少50</w:t>
      </w:r>
      <w:r w:rsidR="008B26A2">
        <w:rPr>
          <w:rFonts w:hAnsi="宋体" w:cs="Times New Roman" w:hint="eastAsia"/>
        </w:rPr>
        <w:t>0</w:t>
      </w:r>
      <w:r>
        <w:rPr>
          <w:rFonts w:hAnsi="宋体" w:cs="Times New Roman"/>
        </w:rPr>
        <w:t>万元，</w:t>
      </w:r>
      <w:r w:rsidR="00EC18B2">
        <w:rPr>
          <w:rFonts w:hAnsi="宋体" w:cs="Times New Roman" w:hint="eastAsia"/>
        </w:rPr>
        <w:t>下降2.</w:t>
      </w:r>
      <w:r w:rsidR="00182232">
        <w:rPr>
          <w:rFonts w:hAnsi="宋体" w:cs="Times New Roman" w:hint="eastAsia"/>
        </w:rPr>
        <w:t>69</w:t>
      </w:r>
      <w:r>
        <w:rPr>
          <w:rFonts w:hAnsi="宋体" w:cs="Times New Roman" w:hint="eastAsia"/>
        </w:rPr>
        <w:t>%</w:t>
      </w:r>
      <w:r>
        <w:rPr>
          <w:rFonts w:hAnsi="宋体" w:cs="Times New Roman"/>
        </w:rPr>
        <w:t>，占收入比例</w:t>
      </w:r>
      <w:r w:rsidR="00EC18B2">
        <w:rPr>
          <w:rFonts w:hAnsi="宋体" w:cs="Times New Roman" w:hint="eastAsia"/>
        </w:rPr>
        <w:t>下降0.1</w:t>
      </w:r>
      <w:r>
        <w:rPr>
          <w:rFonts w:hAnsi="宋体" w:cs="Times New Roman"/>
        </w:rPr>
        <w:t>个百分点</w:t>
      </w:r>
      <w:r>
        <w:rPr>
          <w:rFonts w:hAnsi="宋体" w:cs="Times New Roman" w:hint="eastAsia"/>
        </w:rPr>
        <w:t>，</w:t>
      </w:r>
      <w:r w:rsidR="006253B4">
        <w:rPr>
          <w:rFonts w:hAnsi="宋体" w:cs="Times New Roman" w:hint="eastAsia"/>
        </w:rPr>
        <w:t>主要是</w:t>
      </w:r>
      <w:bookmarkStart w:id="18" w:name="OLE_LINK12"/>
      <w:r w:rsidR="00EC18B2">
        <w:rPr>
          <w:rFonts w:hAnsi="宋体" w:cs="Times New Roman" w:hint="eastAsia"/>
        </w:rPr>
        <w:t>有息负债综合融资成本下降所致</w:t>
      </w:r>
      <w:bookmarkEnd w:id="18"/>
      <w:r>
        <w:rPr>
          <w:rFonts w:hAnsi="宋体" w:cs="Times New Roman"/>
        </w:rPr>
        <w:t>。</w:t>
      </w:r>
    </w:p>
    <w:p w14:paraId="04102D1F" w14:textId="77777777" w:rsidR="003B35DC" w:rsidRDefault="00877547" w:rsidP="003A2116">
      <w:pPr>
        <w:pStyle w:val="Default"/>
        <w:spacing w:beforeLines="50" w:before="156" w:afterLines="50" w:after="156" w:line="420" w:lineRule="exact"/>
        <w:ind w:firstLine="420"/>
        <w:jc w:val="both"/>
        <w:rPr>
          <w:rFonts w:hAnsi="宋体" w:cs="Times New Roman" w:hint="eastAsia"/>
        </w:rPr>
      </w:pPr>
      <w:bookmarkStart w:id="19" w:name="_Toc414467247"/>
      <w:bookmarkStart w:id="20" w:name="_Toc383100568"/>
      <w:bookmarkStart w:id="21" w:name="_Toc383172882"/>
      <w:bookmarkStart w:id="22" w:name="_Toc383176469"/>
      <w:bookmarkStart w:id="23" w:name="_Toc383085198"/>
      <w:bookmarkStart w:id="24" w:name="_Toc383085094"/>
      <w:bookmarkStart w:id="25" w:name="_Toc383092291"/>
      <w:bookmarkStart w:id="26" w:name="_Toc383086126"/>
      <w:bookmarkEnd w:id="10"/>
      <w:bookmarkEnd w:id="11"/>
      <w:bookmarkEnd w:id="12"/>
      <w:bookmarkEnd w:id="13"/>
      <w:bookmarkEnd w:id="14"/>
      <w:bookmarkEnd w:id="15"/>
      <w:bookmarkEnd w:id="16"/>
      <w:bookmarkEnd w:id="17"/>
      <w:r>
        <w:rPr>
          <w:rFonts w:hAnsi="宋体" w:cs="Times New Roman"/>
        </w:rPr>
        <w:t>4、现金流量指标</w:t>
      </w:r>
      <w:bookmarkEnd w:id="19"/>
      <w:bookmarkEnd w:id="20"/>
      <w:bookmarkEnd w:id="21"/>
      <w:bookmarkEnd w:id="22"/>
      <w:bookmarkEnd w:id="23"/>
      <w:bookmarkEnd w:id="24"/>
      <w:bookmarkEnd w:id="25"/>
      <w:bookmarkEnd w:id="26"/>
    </w:p>
    <w:p w14:paraId="7B9F9DE1" w14:textId="7AB9C142" w:rsidR="003B35DC" w:rsidRDefault="00877547" w:rsidP="00783179">
      <w:pPr>
        <w:pStyle w:val="Default"/>
        <w:spacing w:beforeLines="50" w:before="156" w:afterLines="50" w:after="156" w:line="420" w:lineRule="exact"/>
        <w:ind w:firstLine="420"/>
        <w:jc w:val="right"/>
        <w:rPr>
          <w:rFonts w:hAnsi="宋体" w:cs="Times New Roman" w:hint="eastAsia"/>
        </w:rPr>
      </w:pPr>
      <w:r>
        <w:rPr>
          <w:rFonts w:hAnsi="宋体" w:cs="Times New Roman"/>
        </w:rPr>
        <w:t>单位：人民币万元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9"/>
        <w:gridCol w:w="1386"/>
        <w:gridCol w:w="1259"/>
        <w:gridCol w:w="1056"/>
        <w:gridCol w:w="1266"/>
      </w:tblGrid>
      <w:tr w:rsidR="003B35DC" w14:paraId="102EC204" w14:textId="77777777">
        <w:trPr>
          <w:trHeight w:val="255"/>
        </w:trPr>
        <w:tc>
          <w:tcPr>
            <w:tcW w:w="2031" w:type="pct"/>
            <w:shd w:val="clear" w:color="auto" w:fill="D9D9D9" w:themeFill="background1" w:themeFillShade="D9"/>
            <w:noWrap/>
            <w:vAlign w:val="center"/>
          </w:tcPr>
          <w:p w14:paraId="3578B39B" w14:textId="77777777" w:rsidR="003B35DC" w:rsidRDefault="00877547" w:rsidP="003A2116">
            <w:pPr>
              <w:widowControl/>
              <w:rPr>
                <w:rFonts w:ascii="宋体" w:hAnsi="宋体" w:hint="eastAsia"/>
                <w:bCs/>
                <w:color w:val="000000"/>
                <w:kern w:val="0"/>
                <w:szCs w:val="21"/>
              </w:rPr>
            </w:pPr>
            <w:r>
              <w:rPr>
                <w:rFonts w:ascii="宋体" w:hAnsi="宋体"/>
                <w:bCs/>
                <w:color w:val="000000"/>
                <w:kern w:val="0"/>
                <w:szCs w:val="21"/>
              </w:rPr>
              <w:t>项目</w:t>
            </w:r>
          </w:p>
        </w:tc>
        <w:tc>
          <w:tcPr>
            <w:tcW w:w="860" w:type="pct"/>
            <w:shd w:val="clear" w:color="auto" w:fill="D9D9D9" w:themeFill="background1" w:themeFillShade="D9"/>
            <w:noWrap/>
            <w:vAlign w:val="center"/>
          </w:tcPr>
          <w:p w14:paraId="728F0651" w14:textId="34EF5A76" w:rsidR="003B35DC" w:rsidRDefault="00877547" w:rsidP="005F07C3">
            <w:pPr>
              <w:widowControl/>
              <w:rPr>
                <w:rFonts w:ascii="宋体" w:hAnsi="宋体" w:hint="eastAsia"/>
                <w:bCs/>
                <w:color w:val="000000"/>
                <w:kern w:val="0"/>
                <w:szCs w:val="21"/>
              </w:rPr>
            </w:pPr>
            <w:r>
              <w:rPr>
                <w:rFonts w:ascii="宋体" w:hAnsi="宋体"/>
                <w:bCs/>
                <w:color w:val="000000"/>
                <w:kern w:val="0"/>
                <w:szCs w:val="21"/>
              </w:rPr>
              <w:t>202</w:t>
            </w:r>
            <w:r w:rsidR="00E10626">
              <w:rPr>
                <w:rFonts w:ascii="宋体" w:hAnsi="宋体" w:hint="eastAsia"/>
                <w:bCs/>
                <w:color w:val="000000"/>
                <w:kern w:val="0"/>
                <w:szCs w:val="21"/>
              </w:rPr>
              <w:t>5</w:t>
            </w:r>
            <w:r>
              <w:rPr>
                <w:rFonts w:ascii="宋体" w:hAnsi="宋体"/>
                <w:bCs/>
                <w:color w:val="000000"/>
                <w:kern w:val="0"/>
                <w:szCs w:val="21"/>
              </w:rPr>
              <w:t>年</w:t>
            </w:r>
          </w:p>
        </w:tc>
        <w:tc>
          <w:tcPr>
            <w:tcW w:w="783" w:type="pct"/>
            <w:shd w:val="clear" w:color="auto" w:fill="D9D9D9" w:themeFill="background1" w:themeFillShade="D9"/>
            <w:noWrap/>
            <w:vAlign w:val="center"/>
          </w:tcPr>
          <w:p w14:paraId="73F2366D" w14:textId="79A00EC6" w:rsidR="003B35DC" w:rsidRDefault="009D4334" w:rsidP="005F07C3">
            <w:pPr>
              <w:widowControl/>
              <w:rPr>
                <w:rFonts w:ascii="宋体" w:hAnsi="宋体" w:hint="eastAsia"/>
                <w:bCs/>
                <w:color w:val="000000"/>
                <w:kern w:val="0"/>
                <w:szCs w:val="21"/>
              </w:rPr>
            </w:pPr>
            <w:r>
              <w:rPr>
                <w:rFonts w:ascii="宋体" w:hAnsi="宋体"/>
                <w:bCs/>
                <w:color w:val="000000"/>
                <w:kern w:val="0"/>
                <w:szCs w:val="21"/>
              </w:rPr>
              <w:t>202</w:t>
            </w:r>
            <w:r w:rsidR="00E10626">
              <w:rPr>
                <w:rFonts w:ascii="宋体" w:hAnsi="宋体" w:hint="eastAsia"/>
                <w:bCs/>
                <w:color w:val="000000"/>
                <w:kern w:val="0"/>
                <w:szCs w:val="21"/>
              </w:rPr>
              <w:t>4</w:t>
            </w:r>
            <w:r>
              <w:rPr>
                <w:rFonts w:ascii="宋体" w:hAnsi="宋体"/>
                <w:bCs/>
                <w:color w:val="000000"/>
                <w:kern w:val="0"/>
                <w:szCs w:val="21"/>
              </w:rPr>
              <w:t>年</w:t>
            </w:r>
          </w:p>
        </w:tc>
        <w:tc>
          <w:tcPr>
            <w:tcW w:w="626" w:type="pct"/>
            <w:shd w:val="clear" w:color="auto" w:fill="D9D9D9" w:themeFill="background1" w:themeFillShade="D9"/>
            <w:noWrap/>
            <w:vAlign w:val="center"/>
          </w:tcPr>
          <w:p w14:paraId="2E1EEE1B" w14:textId="77777777" w:rsidR="003B35DC" w:rsidRDefault="00877547" w:rsidP="003A2116">
            <w:pPr>
              <w:widowControl/>
              <w:rPr>
                <w:rFonts w:ascii="宋体" w:hAnsi="宋体" w:hint="eastAsia"/>
                <w:bCs/>
                <w:color w:val="000000"/>
                <w:kern w:val="0"/>
                <w:szCs w:val="21"/>
              </w:rPr>
            </w:pPr>
            <w:r>
              <w:rPr>
                <w:rFonts w:ascii="宋体" w:hAnsi="宋体"/>
                <w:color w:val="000000"/>
                <w:kern w:val="0"/>
                <w:szCs w:val="21"/>
              </w:rPr>
              <w:t>增减金额</w:t>
            </w:r>
          </w:p>
        </w:tc>
        <w:tc>
          <w:tcPr>
            <w:tcW w:w="699" w:type="pct"/>
            <w:shd w:val="clear" w:color="auto" w:fill="D9D9D9" w:themeFill="background1" w:themeFillShade="D9"/>
            <w:noWrap/>
            <w:vAlign w:val="center"/>
          </w:tcPr>
          <w:p w14:paraId="73A15B0C" w14:textId="77777777" w:rsidR="003B35DC" w:rsidRDefault="00877547" w:rsidP="003A2116">
            <w:pPr>
              <w:widowControl/>
              <w:rPr>
                <w:rFonts w:ascii="宋体" w:hAnsi="宋体" w:hint="eastAsia"/>
                <w:bCs/>
                <w:color w:val="000000"/>
                <w:kern w:val="0"/>
                <w:szCs w:val="21"/>
              </w:rPr>
            </w:pPr>
            <w:r>
              <w:rPr>
                <w:rFonts w:ascii="宋体" w:hAnsi="宋体"/>
                <w:color w:val="000000"/>
                <w:kern w:val="0"/>
                <w:szCs w:val="21"/>
              </w:rPr>
              <w:t>同比增减率</w:t>
            </w:r>
          </w:p>
        </w:tc>
      </w:tr>
      <w:tr w:rsidR="008B26A2" w14:paraId="49626A99" w14:textId="77777777" w:rsidTr="008B26A2">
        <w:trPr>
          <w:trHeight w:val="255"/>
        </w:trPr>
        <w:tc>
          <w:tcPr>
            <w:tcW w:w="2031" w:type="pct"/>
            <w:noWrap/>
            <w:vAlign w:val="center"/>
          </w:tcPr>
          <w:p w14:paraId="6CD5C13B" w14:textId="77777777" w:rsidR="008B26A2" w:rsidRDefault="008B26A2" w:rsidP="008B26A2">
            <w:pPr>
              <w:widowControl/>
              <w:rPr>
                <w:rFonts w:ascii="宋体" w:hAnsi="宋体" w:hint="eastAsia"/>
                <w:color w:val="000000"/>
                <w:kern w:val="0"/>
                <w:szCs w:val="21"/>
              </w:rPr>
            </w:pPr>
            <w:r>
              <w:rPr>
                <w:rFonts w:ascii="宋体" w:hAnsi="宋体"/>
                <w:color w:val="000000"/>
                <w:kern w:val="0"/>
                <w:szCs w:val="21"/>
              </w:rPr>
              <w:t>经营活动现金净流量</w:t>
            </w:r>
          </w:p>
        </w:tc>
        <w:tc>
          <w:tcPr>
            <w:tcW w:w="860" w:type="pct"/>
            <w:noWrap/>
            <w:vAlign w:val="center"/>
          </w:tcPr>
          <w:p w14:paraId="5F62F3F6" w14:textId="4B5647C4"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38,703</w:t>
            </w:r>
          </w:p>
        </w:tc>
        <w:tc>
          <w:tcPr>
            <w:tcW w:w="783" w:type="pct"/>
            <w:noWrap/>
            <w:vAlign w:val="center"/>
          </w:tcPr>
          <w:p w14:paraId="72360433" w14:textId="0E32409F"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12,542</w:t>
            </w:r>
          </w:p>
        </w:tc>
        <w:tc>
          <w:tcPr>
            <w:tcW w:w="626" w:type="pct"/>
            <w:noWrap/>
            <w:vAlign w:val="center"/>
          </w:tcPr>
          <w:p w14:paraId="1D4BFE95" w14:textId="645826F7"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26,161</w:t>
            </w:r>
          </w:p>
        </w:tc>
        <w:tc>
          <w:tcPr>
            <w:tcW w:w="699" w:type="pct"/>
            <w:noWrap/>
            <w:vAlign w:val="center"/>
          </w:tcPr>
          <w:p w14:paraId="07725CE5" w14:textId="1D377059"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208.59%</w:t>
            </w:r>
          </w:p>
        </w:tc>
      </w:tr>
      <w:tr w:rsidR="008B26A2" w14:paraId="2D414370" w14:textId="77777777" w:rsidTr="008B26A2">
        <w:trPr>
          <w:trHeight w:val="255"/>
        </w:trPr>
        <w:tc>
          <w:tcPr>
            <w:tcW w:w="2031" w:type="pct"/>
            <w:noWrap/>
            <w:vAlign w:val="center"/>
          </w:tcPr>
          <w:p w14:paraId="5FA04C44" w14:textId="77777777" w:rsidR="008B26A2" w:rsidRDefault="008B26A2" w:rsidP="008B26A2">
            <w:pPr>
              <w:widowControl/>
              <w:rPr>
                <w:rFonts w:ascii="宋体" w:hAnsi="宋体" w:hint="eastAsia"/>
                <w:color w:val="000000"/>
                <w:kern w:val="0"/>
                <w:szCs w:val="21"/>
              </w:rPr>
            </w:pPr>
            <w:r>
              <w:rPr>
                <w:rFonts w:ascii="宋体" w:hAnsi="宋体"/>
                <w:color w:val="000000"/>
                <w:kern w:val="0"/>
                <w:szCs w:val="21"/>
              </w:rPr>
              <w:t>投资活动现金净流量</w:t>
            </w:r>
          </w:p>
        </w:tc>
        <w:tc>
          <w:tcPr>
            <w:tcW w:w="860" w:type="pct"/>
            <w:noWrap/>
            <w:vAlign w:val="center"/>
          </w:tcPr>
          <w:p w14:paraId="239AC0FE" w14:textId="40C079C4"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-16,461</w:t>
            </w:r>
          </w:p>
        </w:tc>
        <w:tc>
          <w:tcPr>
            <w:tcW w:w="783" w:type="pct"/>
            <w:noWrap/>
            <w:vAlign w:val="center"/>
          </w:tcPr>
          <w:p w14:paraId="02EAA685" w14:textId="750A30C5"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-12,437</w:t>
            </w:r>
          </w:p>
        </w:tc>
        <w:tc>
          <w:tcPr>
            <w:tcW w:w="626" w:type="pct"/>
            <w:noWrap/>
            <w:vAlign w:val="center"/>
          </w:tcPr>
          <w:p w14:paraId="7F02F269" w14:textId="014C3507"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-4,024</w:t>
            </w:r>
          </w:p>
        </w:tc>
        <w:tc>
          <w:tcPr>
            <w:tcW w:w="699" w:type="pct"/>
            <w:noWrap/>
            <w:vAlign w:val="center"/>
          </w:tcPr>
          <w:p w14:paraId="2F1AABE5" w14:textId="4C9CCD53"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32.36%</w:t>
            </w:r>
          </w:p>
        </w:tc>
      </w:tr>
      <w:tr w:rsidR="008B26A2" w14:paraId="2A62954F" w14:textId="77777777" w:rsidTr="008B26A2">
        <w:trPr>
          <w:trHeight w:val="255"/>
        </w:trPr>
        <w:tc>
          <w:tcPr>
            <w:tcW w:w="2031" w:type="pct"/>
            <w:noWrap/>
            <w:vAlign w:val="center"/>
          </w:tcPr>
          <w:p w14:paraId="3BC4F1F6" w14:textId="77777777" w:rsidR="008B26A2" w:rsidRDefault="008B26A2" w:rsidP="008B26A2">
            <w:pPr>
              <w:widowControl/>
              <w:rPr>
                <w:rFonts w:ascii="宋体" w:hAnsi="宋体" w:hint="eastAsia"/>
                <w:color w:val="000000"/>
                <w:kern w:val="0"/>
                <w:szCs w:val="21"/>
              </w:rPr>
            </w:pPr>
            <w:r>
              <w:rPr>
                <w:rFonts w:ascii="宋体" w:hAnsi="宋体"/>
                <w:color w:val="000000"/>
                <w:kern w:val="0"/>
                <w:szCs w:val="21"/>
              </w:rPr>
              <w:t>筹资活动现金净流量</w:t>
            </w:r>
          </w:p>
        </w:tc>
        <w:tc>
          <w:tcPr>
            <w:tcW w:w="860" w:type="pct"/>
            <w:noWrap/>
            <w:vAlign w:val="center"/>
          </w:tcPr>
          <w:p w14:paraId="0D832EC8" w14:textId="1385C6BD"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-13,887</w:t>
            </w:r>
          </w:p>
        </w:tc>
        <w:tc>
          <w:tcPr>
            <w:tcW w:w="783" w:type="pct"/>
            <w:noWrap/>
            <w:vAlign w:val="center"/>
          </w:tcPr>
          <w:p w14:paraId="7CA65BE9" w14:textId="6335DBD0"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-22,357</w:t>
            </w:r>
          </w:p>
        </w:tc>
        <w:tc>
          <w:tcPr>
            <w:tcW w:w="626" w:type="pct"/>
            <w:noWrap/>
            <w:vAlign w:val="center"/>
          </w:tcPr>
          <w:p w14:paraId="1520EEC3" w14:textId="1322DED0"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8,470</w:t>
            </w:r>
          </w:p>
        </w:tc>
        <w:tc>
          <w:tcPr>
            <w:tcW w:w="699" w:type="pct"/>
            <w:noWrap/>
            <w:vAlign w:val="center"/>
          </w:tcPr>
          <w:p w14:paraId="2B745EB8" w14:textId="647855A1"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-37.89%</w:t>
            </w:r>
          </w:p>
        </w:tc>
      </w:tr>
      <w:tr w:rsidR="008B26A2" w14:paraId="6362D0BD" w14:textId="77777777" w:rsidTr="008B26A2">
        <w:trPr>
          <w:trHeight w:val="255"/>
        </w:trPr>
        <w:tc>
          <w:tcPr>
            <w:tcW w:w="2031" w:type="pct"/>
            <w:vAlign w:val="center"/>
          </w:tcPr>
          <w:p w14:paraId="2306B0B9" w14:textId="77777777" w:rsidR="008B26A2" w:rsidRDefault="008B26A2" w:rsidP="008B26A2">
            <w:pPr>
              <w:widowControl/>
              <w:rPr>
                <w:rFonts w:ascii="宋体" w:hAnsi="宋体" w:hint="eastAsia"/>
                <w:color w:val="000000"/>
                <w:kern w:val="0"/>
                <w:szCs w:val="21"/>
              </w:rPr>
            </w:pPr>
            <w:r>
              <w:rPr>
                <w:rFonts w:ascii="宋体" w:hAnsi="宋体"/>
                <w:color w:val="000000"/>
                <w:kern w:val="0"/>
                <w:szCs w:val="21"/>
              </w:rPr>
              <w:t>汇率变动对现金及现金等价物的影响</w:t>
            </w:r>
          </w:p>
        </w:tc>
        <w:tc>
          <w:tcPr>
            <w:tcW w:w="860" w:type="pct"/>
            <w:noWrap/>
            <w:vAlign w:val="center"/>
          </w:tcPr>
          <w:p w14:paraId="52B66573" w14:textId="1B8658AB"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w:t>
            </w:r>
          </w:p>
        </w:tc>
        <w:tc>
          <w:tcPr>
            <w:tcW w:w="783" w:type="pct"/>
            <w:noWrap/>
            <w:vAlign w:val="center"/>
          </w:tcPr>
          <w:p w14:paraId="3A5EC81E" w14:textId="1F83D3D6"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101</w:t>
            </w:r>
          </w:p>
        </w:tc>
        <w:tc>
          <w:tcPr>
            <w:tcW w:w="626" w:type="pct"/>
            <w:noWrap/>
            <w:vAlign w:val="center"/>
          </w:tcPr>
          <w:p w14:paraId="612FEA7B" w14:textId="22340019"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-100</w:t>
            </w:r>
          </w:p>
        </w:tc>
        <w:tc>
          <w:tcPr>
            <w:tcW w:w="699" w:type="pct"/>
            <w:noWrap/>
            <w:vAlign w:val="center"/>
          </w:tcPr>
          <w:p w14:paraId="06436ABF" w14:textId="22DE06F7"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-99.01%</w:t>
            </w:r>
          </w:p>
        </w:tc>
      </w:tr>
      <w:tr w:rsidR="008B26A2" w14:paraId="6EC91954" w14:textId="77777777" w:rsidTr="008B26A2">
        <w:trPr>
          <w:trHeight w:val="255"/>
        </w:trPr>
        <w:tc>
          <w:tcPr>
            <w:tcW w:w="2031" w:type="pct"/>
            <w:vAlign w:val="center"/>
          </w:tcPr>
          <w:p w14:paraId="60EEDB11" w14:textId="77777777" w:rsidR="008B26A2" w:rsidRDefault="008B26A2" w:rsidP="008B26A2">
            <w:pPr>
              <w:widowControl/>
              <w:rPr>
                <w:rFonts w:ascii="宋体" w:hAnsi="宋体" w:hint="eastAsia"/>
                <w:color w:val="000000"/>
                <w:kern w:val="0"/>
                <w:szCs w:val="21"/>
              </w:rPr>
            </w:pPr>
            <w:r>
              <w:rPr>
                <w:rFonts w:ascii="宋体" w:hAnsi="宋体"/>
                <w:color w:val="000000"/>
                <w:kern w:val="0"/>
                <w:szCs w:val="21"/>
              </w:rPr>
              <w:t>现金及现金等价物净增加额</w:t>
            </w:r>
          </w:p>
        </w:tc>
        <w:tc>
          <w:tcPr>
            <w:tcW w:w="860" w:type="pct"/>
            <w:noWrap/>
            <w:vAlign w:val="center"/>
          </w:tcPr>
          <w:p w14:paraId="46571768" w14:textId="233426BD"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8,357</w:t>
            </w:r>
          </w:p>
        </w:tc>
        <w:tc>
          <w:tcPr>
            <w:tcW w:w="783" w:type="pct"/>
            <w:noWrap/>
            <w:vAlign w:val="center"/>
          </w:tcPr>
          <w:p w14:paraId="1629D0C4" w14:textId="0E0B1252"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-22,150</w:t>
            </w:r>
          </w:p>
        </w:tc>
        <w:tc>
          <w:tcPr>
            <w:tcW w:w="626" w:type="pct"/>
            <w:noWrap/>
            <w:vAlign w:val="center"/>
          </w:tcPr>
          <w:p w14:paraId="5D3ABCD4" w14:textId="4B40BB87"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30,507</w:t>
            </w:r>
          </w:p>
        </w:tc>
        <w:tc>
          <w:tcPr>
            <w:tcW w:w="699" w:type="pct"/>
            <w:noWrap/>
            <w:vAlign w:val="center"/>
          </w:tcPr>
          <w:p w14:paraId="316AF1C0" w14:textId="44FE3BE9"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-137.73%</w:t>
            </w:r>
          </w:p>
        </w:tc>
      </w:tr>
      <w:tr w:rsidR="008B26A2" w14:paraId="66F202AA" w14:textId="77777777" w:rsidTr="008B26A2">
        <w:trPr>
          <w:trHeight w:val="255"/>
        </w:trPr>
        <w:tc>
          <w:tcPr>
            <w:tcW w:w="2031" w:type="pct"/>
            <w:noWrap/>
            <w:vAlign w:val="center"/>
          </w:tcPr>
          <w:p w14:paraId="33DDAFC4" w14:textId="77777777" w:rsidR="008B26A2" w:rsidRDefault="008B26A2" w:rsidP="008B26A2">
            <w:pPr>
              <w:widowControl/>
              <w:rPr>
                <w:rFonts w:ascii="宋体" w:hAnsi="宋体" w:hint="eastAsia"/>
                <w:color w:val="000000"/>
                <w:kern w:val="0"/>
                <w:szCs w:val="21"/>
              </w:rPr>
            </w:pPr>
            <w:r>
              <w:rPr>
                <w:rFonts w:ascii="宋体" w:hAnsi="宋体"/>
                <w:color w:val="000000"/>
                <w:kern w:val="0"/>
                <w:szCs w:val="21"/>
              </w:rPr>
              <w:t>加：期初现金及现金等价物余额</w:t>
            </w:r>
          </w:p>
        </w:tc>
        <w:tc>
          <w:tcPr>
            <w:tcW w:w="860" w:type="pct"/>
            <w:noWrap/>
            <w:vAlign w:val="center"/>
          </w:tcPr>
          <w:p w14:paraId="5AACBC9B" w14:textId="7489300B"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101,631</w:t>
            </w:r>
          </w:p>
        </w:tc>
        <w:tc>
          <w:tcPr>
            <w:tcW w:w="783" w:type="pct"/>
            <w:noWrap/>
            <w:vAlign w:val="center"/>
          </w:tcPr>
          <w:p w14:paraId="2FCC6E4F" w14:textId="33BE7973"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123,781</w:t>
            </w:r>
          </w:p>
        </w:tc>
        <w:tc>
          <w:tcPr>
            <w:tcW w:w="626" w:type="pct"/>
            <w:noWrap/>
            <w:vAlign w:val="center"/>
          </w:tcPr>
          <w:p w14:paraId="50B0AB09" w14:textId="70016460"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-22,150</w:t>
            </w:r>
          </w:p>
        </w:tc>
        <w:tc>
          <w:tcPr>
            <w:tcW w:w="699" w:type="pct"/>
            <w:noWrap/>
            <w:vAlign w:val="center"/>
          </w:tcPr>
          <w:p w14:paraId="249E460C" w14:textId="14AF5955"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-17.89%</w:t>
            </w:r>
          </w:p>
        </w:tc>
      </w:tr>
      <w:tr w:rsidR="008B26A2" w14:paraId="0EB9DD1B" w14:textId="77777777" w:rsidTr="008B26A2">
        <w:trPr>
          <w:trHeight w:val="255"/>
        </w:trPr>
        <w:tc>
          <w:tcPr>
            <w:tcW w:w="2031" w:type="pct"/>
            <w:noWrap/>
            <w:vAlign w:val="center"/>
          </w:tcPr>
          <w:p w14:paraId="6D5D1876" w14:textId="77777777" w:rsidR="008B26A2" w:rsidRDefault="008B26A2" w:rsidP="008B26A2">
            <w:pPr>
              <w:widowControl/>
              <w:rPr>
                <w:rFonts w:ascii="宋体" w:hAnsi="宋体" w:hint="eastAsia"/>
                <w:color w:val="000000"/>
                <w:kern w:val="0"/>
                <w:szCs w:val="21"/>
              </w:rPr>
            </w:pPr>
            <w:r>
              <w:rPr>
                <w:rFonts w:ascii="宋体" w:hAnsi="宋体"/>
                <w:color w:val="000000"/>
                <w:kern w:val="0"/>
                <w:szCs w:val="21"/>
              </w:rPr>
              <w:t>期末现金及现金等价物余额</w:t>
            </w:r>
          </w:p>
        </w:tc>
        <w:tc>
          <w:tcPr>
            <w:tcW w:w="860" w:type="pct"/>
            <w:noWrap/>
            <w:vAlign w:val="center"/>
          </w:tcPr>
          <w:p w14:paraId="27804581" w14:textId="57568352"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109,987</w:t>
            </w:r>
          </w:p>
        </w:tc>
        <w:tc>
          <w:tcPr>
            <w:tcW w:w="783" w:type="pct"/>
            <w:noWrap/>
            <w:vAlign w:val="center"/>
          </w:tcPr>
          <w:p w14:paraId="7EF72938" w14:textId="5E76E48A"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101,631</w:t>
            </w:r>
          </w:p>
        </w:tc>
        <w:tc>
          <w:tcPr>
            <w:tcW w:w="626" w:type="pct"/>
            <w:noWrap/>
            <w:vAlign w:val="center"/>
          </w:tcPr>
          <w:p w14:paraId="6AF554DC" w14:textId="7DD2343B"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8,356</w:t>
            </w:r>
          </w:p>
        </w:tc>
        <w:tc>
          <w:tcPr>
            <w:tcW w:w="699" w:type="pct"/>
            <w:noWrap/>
            <w:vAlign w:val="center"/>
          </w:tcPr>
          <w:p w14:paraId="60C55E27" w14:textId="73EF0AAB"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8.22%</w:t>
            </w:r>
          </w:p>
        </w:tc>
      </w:tr>
      <w:tr w:rsidR="008B26A2" w14:paraId="1E07CAF2" w14:textId="77777777" w:rsidTr="008B26A2">
        <w:trPr>
          <w:trHeight w:val="255"/>
        </w:trPr>
        <w:tc>
          <w:tcPr>
            <w:tcW w:w="2031" w:type="pct"/>
            <w:noWrap/>
            <w:vAlign w:val="center"/>
          </w:tcPr>
          <w:p w14:paraId="0B640D9C" w14:textId="77777777" w:rsidR="008B26A2" w:rsidRDefault="008B26A2" w:rsidP="008B26A2">
            <w:pPr>
              <w:widowControl/>
              <w:rPr>
                <w:rFonts w:ascii="宋体" w:hAnsi="宋体" w:hint="eastAsia"/>
                <w:color w:val="000000"/>
                <w:kern w:val="0"/>
                <w:szCs w:val="21"/>
              </w:rPr>
            </w:pPr>
            <w:r>
              <w:rPr>
                <w:rFonts w:ascii="宋体" w:hAnsi="宋体"/>
                <w:color w:val="000000"/>
                <w:kern w:val="0"/>
                <w:szCs w:val="21"/>
              </w:rPr>
              <w:t>每股经营现金净流量(元/股）</w:t>
            </w:r>
          </w:p>
        </w:tc>
        <w:tc>
          <w:tcPr>
            <w:tcW w:w="860" w:type="pct"/>
            <w:noWrap/>
            <w:vAlign w:val="center"/>
          </w:tcPr>
          <w:p w14:paraId="186AC103" w14:textId="2B0C1AA9"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0.35 </w:t>
            </w:r>
          </w:p>
        </w:tc>
        <w:tc>
          <w:tcPr>
            <w:tcW w:w="783" w:type="pct"/>
            <w:noWrap/>
            <w:vAlign w:val="center"/>
          </w:tcPr>
          <w:p w14:paraId="527B516D" w14:textId="4474310C"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0.11</w:t>
            </w:r>
          </w:p>
        </w:tc>
        <w:tc>
          <w:tcPr>
            <w:tcW w:w="626" w:type="pct"/>
            <w:noWrap/>
            <w:vAlign w:val="center"/>
          </w:tcPr>
          <w:p w14:paraId="5FEFAB6C" w14:textId="3155AA01"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0.24 </w:t>
            </w:r>
          </w:p>
        </w:tc>
        <w:tc>
          <w:tcPr>
            <w:tcW w:w="699" w:type="pct"/>
            <w:noWrap/>
            <w:vAlign w:val="center"/>
          </w:tcPr>
          <w:p w14:paraId="08902C7F" w14:textId="2B674F86"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w:t>
            </w:r>
          </w:p>
        </w:tc>
      </w:tr>
      <w:tr w:rsidR="008B26A2" w14:paraId="6B410E4C" w14:textId="77777777" w:rsidTr="008B26A2">
        <w:trPr>
          <w:trHeight w:val="255"/>
        </w:trPr>
        <w:tc>
          <w:tcPr>
            <w:tcW w:w="2031" w:type="pct"/>
            <w:noWrap/>
            <w:vAlign w:val="center"/>
          </w:tcPr>
          <w:p w14:paraId="2C017258" w14:textId="77777777" w:rsidR="008B26A2" w:rsidRDefault="008B26A2" w:rsidP="008B26A2">
            <w:pPr>
              <w:widowControl/>
              <w:rPr>
                <w:rFonts w:ascii="宋体" w:hAnsi="宋体" w:hint="eastAsia"/>
                <w:color w:val="000000"/>
                <w:kern w:val="0"/>
                <w:szCs w:val="21"/>
              </w:rPr>
            </w:pPr>
            <w:r>
              <w:rPr>
                <w:rFonts w:ascii="宋体" w:hAnsi="宋体"/>
                <w:color w:val="000000"/>
                <w:kern w:val="0"/>
                <w:szCs w:val="21"/>
              </w:rPr>
              <w:t>每股现金净流量(元/股）</w:t>
            </w:r>
          </w:p>
        </w:tc>
        <w:tc>
          <w:tcPr>
            <w:tcW w:w="860" w:type="pct"/>
            <w:noWrap/>
            <w:vAlign w:val="center"/>
          </w:tcPr>
          <w:p w14:paraId="4E8C57EF" w14:textId="22402F7C"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0.08 </w:t>
            </w:r>
          </w:p>
        </w:tc>
        <w:tc>
          <w:tcPr>
            <w:tcW w:w="783" w:type="pct"/>
            <w:noWrap/>
            <w:vAlign w:val="center"/>
          </w:tcPr>
          <w:p w14:paraId="79164DFA" w14:textId="74487E33"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-0.2</w:t>
            </w:r>
          </w:p>
        </w:tc>
        <w:tc>
          <w:tcPr>
            <w:tcW w:w="626" w:type="pct"/>
            <w:noWrap/>
            <w:vAlign w:val="center"/>
          </w:tcPr>
          <w:p w14:paraId="67BA6E13" w14:textId="548FC983"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0.28 </w:t>
            </w:r>
          </w:p>
        </w:tc>
        <w:tc>
          <w:tcPr>
            <w:tcW w:w="699" w:type="pct"/>
            <w:noWrap/>
            <w:vAlign w:val="center"/>
          </w:tcPr>
          <w:p w14:paraId="761DAB49" w14:textId="4C9DE050"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-140.00%</w:t>
            </w:r>
          </w:p>
        </w:tc>
      </w:tr>
    </w:tbl>
    <w:p w14:paraId="39CE6056" w14:textId="601AC2DF"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（1）202</w:t>
      </w:r>
      <w:r w:rsidR="00886A04">
        <w:rPr>
          <w:rFonts w:hAnsi="宋体" w:cs="Times New Roman" w:hint="eastAsia"/>
        </w:rPr>
        <w:t>5</w:t>
      </w:r>
      <w:r>
        <w:rPr>
          <w:rFonts w:hAnsi="宋体" w:cs="Times New Roman"/>
        </w:rPr>
        <w:t>年度公司经营性现金净流量为</w:t>
      </w:r>
      <w:r w:rsidR="00DE270C">
        <w:rPr>
          <w:rFonts w:hAnsi="宋体" w:cs="Times New Roman" w:hint="eastAsia"/>
        </w:rPr>
        <w:t>38</w:t>
      </w:r>
      <w:r w:rsidR="00051C37" w:rsidRPr="00051C37">
        <w:rPr>
          <w:rFonts w:hAnsi="宋体" w:cs="Times New Roman"/>
        </w:rPr>
        <w:t>,</w:t>
      </w:r>
      <w:r w:rsidR="008B26A2">
        <w:rPr>
          <w:rFonts w:hAnsi="宋体" w:cs="Times New Roman" w:hint="eastAsia"/>
        </w:rPr>
        <w:t>703</w:t>
      </w:r>
      <w:r>
        <w:rPr>
          <w:rFonts w:hAnsi="宋体" w:cs="Times New Roman"/>
        </w:rPr>
        <w:t>万元，比上年</w:t>
      </w:r>
      <w:r w:rsidR="00051C37">
        <w:rPr>
          <w:rFonts w:hAnsi="宋体" w:cs="Times New Roman" w:hint="eastAsia"/>
        </w:rPr>
        <w:t>增加</w:t>
      </w:r>
      <w:r w:rsidR="00DE270C">
        <w:rPr>
          <w:rFonts w:hAnsi="宋体" w:cs="Times New Roman" w:hint="eastAsia"/>
        </w:rPr>
        <w:t>2</w:t>
      </w:r>
      <w:r w:rsidR="008B26A2">
        <w:rPr>
          <w:rFonts w:hAnsi="宋体" w:cs="Times New Roman" w:hint="eastAsia"/>
        </w:rPr>
        <w:t>6</w:t>
      </w:r>
      <w:r w:rsidR="00051C37" w:rsidRPr="00051C37">
        <w:rPr>
          <w:rFonts w:hAnsi="宋体" w:cs="Times New Roman"/>
        </w:rPr>
        <w:t>,</w:t>
      </w:r>
      <w:r w:rsidR="008B26A2">
        <w:rPr>
          <w:rFonts w:hAnsi="宋体" w:cs="Times New Roman" w:hint="eastAsia"/>
        </w:rPr>
        <w:t>161</w:t>
      </w:r>
      <w:r>
        <w:rPr>
          <w:rFonts w:hAnsi="宋体" w:cs="Times New Roman"/>
        </w:rPr>
        <w:t>万元，</w:t>
      </w:r>
      <w:r w:rsidR="00051C37" w:rsidRPr="00051C37">
        <w:rPr>
          <w:rFonts w:hAnsi="宋体" w:cs="Times New Roman" w:hint="eastAsia"/>
        </w:rPr>
        <w:t>主要是报告期</w:t>
      </w:r>
      <w:r w:rsidR="00B306DA" w:rsidRPr="00B306DA">
        <w:rPr>
          <w:rFonts w:hAnsi="宋体" w:cs="Times New Roman" w:hint="eastAsia"/>
        </w:rPr>
        <w:t>工业废物资源化利用业务收入增长收回资金较</w:t>
      </w:r>
      <w:r w:rsidR="00B306DA">
        <w:rPr>
          <w:rFonts w:hAnsi="宋体" w:cs="Times New Roman" w:hint="eastAsia"/>
        </w:rPr>
        <w:t>多</w:t>
      </w:r>
      <w:r w:rsidR="00B306DA" w:rsidRPr="00B306DA">
        <w:rPr>
          <w:rFonts w:hAnsi="宋体" w:cs="Times New Roman" w:hint="eastAsia"/>
        </w:rPr>
        <w:t>以及收回政府款项性质应收</w:t>
      </w:r>
      <w:proofErr w:type="gramStart"/>
      <w:r w:rsidR="00B306DA" w:rsidRPr="00B306DA">
        <w:rPr>
          <w:rFonts w:hAnsi="宋体" w:cs="Times New Roman" w:hint="eastAsia"/>
        </w:rPr>
        <w:t>款导致</w:t>
      </w:r>
      <w:proofErr w:type="gramEnd"/>
      <w:r w:rsidR="00B306DA" w:rsidRPr="00B306DA">
        <w:rPr>
          <w:rFonts w:hAnsi="宋体" w:cs="Times New Roman" w:hint="eastAsia"/>
        </w:rPr>
        <w:t>现金流增加</w:t>
      </w:r>
      <w:r>
        <w:rPr>
          <w:rFonts w:hAnsi="宋体" w:cs="Times New Roman" w:hint="eastAsia"/>
        </w:rPr>
        <w:t>。</w:t>
      </w:r>
    </w:p>
    <w:p w14:paraId="3D529E48" w14:textId="09A7364F" w:rsidR="003B35DC" w:rsidRDefault="00877547" w:rsidP="00265D20">
      <w:pPr>
        <w:pStyle w:val="Default"/>
        <w:spacing w:beforeLines="50" w:before="156" w:afterLines="50" w:after="156" w:line="420" w:lineRule="exact"/>
        <w:ind w:firstLine="420"/>
        <w:jc w:val="both"/>
        <w:rPr>
          <w:rFonts w:hAnsi="宋体" w:cs="Times New Roman" w:hint="eastAsia"/>
        </w:rPr>
      </w:pPr>
      <w:r>
        <w:rPr>
          <w:rFonts w:hAnsi="宋体" w:cs="Times New Roman"/>
        </w:rPr>
        <w:t>（2）202</w:t>
      </w:r>
      <w:r w:rsidR="00373D43">
        <w:rPr>
          <w:rFonts w:hAnsi="宋体" w:cs="Times New Roman" w:hint="eastAsia"/>
        </w:rPr>
        <w:t>5</w:t>
      </w:r>
      <w:r>
        <w:rPr>
          <w:rFonts w:hAnsi="宋体" w:cs="Times New Roman"/>
        </w:rPr>
        <w:t>年度公司投资活动现</w:t>
      </w:r>
      <w:r w:rsidRPr="002823FF">
        <w:rPr>
          <w:rFonts w:hAnsi="宋体" w:cs="Times New Roman"/>
        </w:rPr>
        <w:t>金净流量流出</w:t>
      </w:r>
      <w:r w:rsidR="00373D43">
        <w:rPr>
          <w:rFonts w:hAnsi="宋体" w:cs="Times New Roman" w:hint="eastAsia"/>
        </w:rPr>
        <w:t>1</w:t>
      </w:r>
      <w:r w:rsidR="008B26A2">
        <w:rPr>
          <w:rFonts w:hAnsi="宋体" w:cs="Times New Roman" w:hint="eastAsia"/>
        </w:rPr>
        <w:t>6</w:t>
      </w:r>
      <w:r w:rsidR="00051C37" w:rsidRPr="00051C37">
        <w:rPr>
          <w:rFonts w:hAnsi="宋体" w:cs="Times New Roman"/>
        </w:rPr>
        <w:t>,</w:t>
      </w:r>
      <w:r w:rsidR="008B26A2">
        <w:rPr>
          <w:rFonts w:hAnsi="宋体" w:cs="Times New Roman" w:hint="eastAsia"/>
        </w:rPr>
        <w:t>4</w:t>
      </w:r>
      <w:r w:rsidR="00373D43">
        <w:rPr>
          <w:rFonts w:hAnsi="宋体" w:cs="Times New Roman" w:hint="eastAsia"/>
        </w:rPr>
        <w:t>61</w:t>
      </w:r>
      <w:r w:rsidRPr="002823FF">
        <w:rPr>
          <w:rFonts w:hAnsi="宋体" w:cs="Times New Roman"/>
        </w:rPr>
        <w:t>万元，</w:t>
      </w:r>
      <w:r w:rsidRPr="002823FF">
        <w:rPr>
          <w:rFonts w:hAnsi="宋体" w:cs="Times New Roman" w:hint="eastAsia"/>
        </w:rPr>
        <w:t>较上年</w:t>
      </w:r>
      <w:r w:rsidR="002823FF" w:rsidRPr="002823FF">
        <w:rPr>
          <w:rFonts w:hAnsi="宋体" w:cs="Times New Roman" w:hint="eastAsia"/>
        </w:rPr>
        <w:t>流出</w:t>
      </w:r>
      <w:r w:rsidR="00373D43">
        <w:rPr>
          <w:rFonts w:hAnsi="宋体" w:cs="Times New Roman" w:hint="eastAsia"/>
        </w:rPr>
        <w:t>增加</w:t>
      </w:r>
      <w:r w:rsidR="008B26A2">
        <w:rPr>
          <w:rFonts w:hAnsi="宋体" w:cs="Times New Roman" w:hint="eastAsia"/>
        </w:rPr>
        <w:t>4</w:t>
      </w:r>
      <w:r w:rsidR="00051C37" w:rsidRPr="00051C37">
        <w:rPr>
          <w:rFonts w:hAnsi="宋体" w:cs="Times New Roman"/>
        </w:rPr>
        <w:t>,</w:t>
      </w:r>
      <w:r w:rsidR="008B26A2">
        <w:rPr>
          <w:rFonts w:hAnsi="宋体" w:cs="Times New Roman" w:hint="eastAsia"/>
        </w:rPr>
        <w:t>024</w:t>
      </w:r>
      <w:r w:rsidR="002823FF" w:rsidRPr="002823FF">
        <w:rPr>
          <w:rFonts w:hAnsi="宋体" w:cs="Times New Roman" w:hint="eastAsia"/>
        </w:rPr>
        <w:t>万元，</w:t>
      </w:r>
      <w:r w:rsidR="00265D20" w:rsidRPr="00265D20">
        <w:rPr>
          <w:rFonts w:hAnsi="宋体" w:cs="Times New Roman" w:hint="eastAsia"/>
        </w:rPr>
        <w:t>主要是报告</w:t>
      </w:r>
      <w:r w:rsidR="00265D20">
        <w:rPr>
          <w:rFonts w:hAnsi="宋体" w:cs="Times New Roman" w:hint="eastAsia"/>
        </w:rPr>
        <w:t>期</w:t>
      </w:r>
      <w:r w:rsidR="008B26A2">
        <w:rPr>
          <w:rFonts w:hAnsi="宋体" w:cs="Times New Roman" w:hint="eastAsia"/>
        </w:rPr>
        <w:t>赎回</w:t>
      </w:r>
      <w:r w:rsidR="00051C37">
        <w:rPr>
          <w:rFonts w:hAnsi="宋体" w:cs="Times New Roman" w:hint="eastAsia"/>
        </w:rPr>
        <w:t>结构性存款</w:t>
      </w:r>
      <w:r w:rsidR="008B26A2">
        <w:rPr>
          <w:rFonts w:hAnsi="宋体" w:cs="Times New Roman" w:hint="eastAsia"/>
        </w:rPr>
        <w:t>现金流减少导致投资流入减少</w:t>
      </w:r>
      <w:r w:rsidR="00265D20">
        <w:rPr>
          <w:rFonts w:hAnsi="宋体" w:cs="Times New Roman" w:hint="eastAsia"/>
        </w:rPr>
        <w:t>所致</w:t>
      </w:r>
      <w:r>
        <w:rPr>
          <w:rFonts w:hAnsi="宋体" w:cs="Times New Roman" w:hint="eastAsia"/>
        </w:rPr>
        <w:t>。</w:t>
      </w:r>
    </w:p>
    <w:p w14:paraId="79BC019C" w14:textId="27411AB3"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（3）202</w:t>
      </w:r>
      <w:r w:rsidR="00024CB7">
        <w:rPr>
          <w:rFonts w:hAnsi="宋体" w:cs="Times New Roman" w:hint="eastAsia"/>
        </w:rPr>
        <w:t>5</w:t>
      </w:r>
      <w:r>
        <w:rPr>
          <w:rFonts w:hAnsi="宋体" w:cs="Times New Roman"/>
        </w:rPr>
        <w:t>年度公司筹资活动现金净流量</w:t>
      </w:r>
      <w:r>
        <w:rPr>
          <w:rFonts w:hAnsi="宋体" w:cs="Times New Roman" w:hint="eastAsia"/>
        </w:rPr>
        <w:t>流</w:t>
      </w:r>
      <w:r w:rsidR="00051C37">
        <w:rPr>
          <w:rFonts w:hAnsi="宋体" w:cs="Times New Roman" w:hint="eastAsia"/>
        </w:rPr>
        <w:t>出</w:t>
      </w:r>
      <w:r w:rsidR="00024CB7">
        <w:rPr>
          <w:rFonts w:hAnsi="宋体" w:cs="Times New Roman" w:hint="eastAsia"/>
        </w:rPr>
        <w:t>13</w:t>
      </w:r>
      <w:r w:rsidR="00776C55" w:rsidRPr="00776C55">
        <w:rPr>
          <w:rFonts w:hAnsi="宋体" w:cs="Times New Roman"/>
        </w:rPr>
        <w:t>,</w:t>
      </w:r>
      <w:r w:rsidR="00024CB7">
        <w:rPr>
          <w:rFonts w:hAnsi="宋体" w:cs="Times New Roman" w:hint="eastAsia"/>
        </w:rPr>
        <w:t>8</w:t>
      </w:r>
      <w:r w:rsidR="008B26A2">
        <w:rPr>
          <w:rFonts w:hAnsi="宋体" w:cs="Times New Roman" w:hint="eastAsia"/>
        </w:rPr>
        <w:t>87</w:t>
      </w:r>
      <w:r>
        <w:rPr>
          <w:rFonts w:hAnsi="宋体" w:cs="Times New Roman"/>
        </w:rPr>
        <w:t>万元，较上年</w:t>
      </w:r>
      <w:r>
        <w:rPr>
          <w:rFonts w:hAnsi="宋体" w:cs="Times New Roman" w:hint="eastAsia"/>
        </w:rPr>
        <w:t>流</w:t>
      </w:r>
      <w:r w:rsidR="00051C37">
        <w:rPr>
          <w:rFonts w:hAnsi="宋体" w:cs="Times New Roman" w:hint="eastAsia"/>
        </w:rPr>
        <w:t>出</w:t>
      </w:r>
      <w:r w:rsidR="00024CB7">
        <w:rPr>
          <w:rFonts w:hAnsi="宋体" w:cs="Times New Roman" w:hint="eastAsia"/>
        </w:rPr>
        <w:t>减少8</w:t>
      </w:r>
      <w:r w:rsidR="00051C37" w:rsidRPr="00051C37">
        <w:rPr>
          <w:rFonts w:hAnsi="宋体" w:cs="Times New Roman"/>
        </w:rPr>
        <w:t>,</w:t>
      </w:r>
      <w:r w:rsidR="00024CB7">
        <w:rPr>
          <w:rFonts w:hAnsi="宋体" w:cs="Times New Roman" w:hint="eastAsia"/>
        </w:rPr>
        <w:t>4</w:t>
      </w:r>
      <w:r w:rsidR="008B26A2">
        <w:rPr>
          <w:rFonts w:hAnsi="宋体" w:cs="Times New Roman" w:hint="eastAsia"/>
        </w:rPr>
        <w:t>70</w:t>
      </w:r>
      <w:r>
        <w:rPr>
          <w:rFonts w:hAnsi="宋体" w:cs="Times New Roman"/>
        </w:rPr>
        <w:t>万元，</w:t>
      </w:r>
      <w:r w:rsidR="00265D20" w:rsidRPr="00265D20">
        <w:rPr>
          <w:rFonts w:hAnsi="宋体" w:cs="Times New Roman" w:hint="eastAsia"/>
        </w:rPr>
        <w:t>主要是报告期</w:t>
      </w:r>
      <w:r w:rsidR="00024CB7">
        <w:rPr>
          <w:rFonts w:hAnsi="宋体" w:cs="Times New Roman" w:hint="eastAsia"/>
        </w:rPr>
        <w:t>内取得的借款增加所致</w:t>
      </w:r>
      <w:r>
        <w:rPr>
          <w:rFonts w:hAnsi="宋体" w:cs="Times New Roman"/>
        </w:rPr>
        <w:t>。</w:t>
      </w:r>
    </w:p>
    <w:p w14:paraId="3C96B841" w14:textId="77777777"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5、其他重要项目</w:t>
      </w:r>
    </w:p>
    <w:p w14:paraId="7D2775BE" w14:textId="77777777" w:rsidR="003B35DC" w:rsidRDefault="00877547" w:rsidP="00783179">
      <w:pPr>
        <w:pStyle w:val="Default"/>
        <w:spacing w:beforeLines="50" w:before="156" w:afterLines="50" w:after="156" w:line="420" w:lineRule="exact"/>
        <w:ind w:firstLine="420"/>
        <w:jc w:val="right"/>
        <w:rPr>
          <w:rFonts w:hAnsi="宋体" w:cs="Times New Roman" w:hint="eastAsia"/>
        </w:rPr>
      </w:pPr>
      <w:r>
        <w:rPr>
          <w:rFonts w:hAnsi="宋体" w:cs="Times New Roman" w:hint="eastAsia"/>
        </w:rPr>
        <w:t>单</w:t>
      </w:r>
      <w:r>
        <w:rPr>
          <w:rFonts w:hAnsi="宋体" w:cs="Times New Roman"/>
        </w:rPr>
        <w:t>位：人民币万元</w:t>
      </w:r>
    </w:p>
    <w:tbl>
      <w:tblPr>
        <w:tblW w:w="5000" w:type="pct"/>
        <w:tblLook w:val="04A0" w:firstRow="1" w:lastRow="0" w:firstColumn="1" w:lastColumn="0" w:noHBand="0" w:noVBand="1"/>
      </w:tblPr>
      <w:tblGrid>
        <w:gridCol w:w="2124"/>
        <w:gridCol w:w="1560"/>
        <w:gridCol w:w="1543"/>
        <w:gridCol w:w="1543"/>
        <w:gridCol w:w="1526"/>
      </w:tblGrid>
      <w:tr w:rsidR="003B35DC" w14:paraId="39E1F63B" w14:textId="77777777" w:rsidTr="00AC0668">
        <w:trPr>
          <w:trHeight w:val="255"/>
        </w:trPr>
        <w:tc>
          <w:tcPr>
            <w:tcW w:w="1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DDCFBF2" w14:textId="77777777" w:rsidR="003B35DC" w:rsidRDefault="00877547" w:rsidP="003A2116">
            <w:pPr>
              <w:widowControl/>
              <w:rPr>
                <w:rFonts w:ascii="宋体" w:hAnsi="宋体" w:hint="eastAsia"/>
                <w:bCs/>
                <w:color w:val="000000"/>
                <w:kern w:val="0"/>
                <w:szCs w:val="21"/>
              </w:rPr>
            </w:pPr>
            <w:bookmarkStart w:id="27" w:name="_Toc383085099"/>
            <w:bookmarkStart w:id="28" w:name="_Toc383086131"/>
            <w:bookmarkStart w:id="29" w:name="_Toc383085203"/>
            <w:bookmarkStart w:id="30" w:name="_Toc383092296"/>
            <w:bookmarkStart w:id="31" w:name="_Toc383100573"/>
            <w:bookmarkStart w:id="32" w:name="_Toc383176474"/>
            <w:bookmarkStart w:id="33" w:name="_Toc414467251"/>
            <w:bookmarkStart w:id="34" w:name="_Toc383172887"/>
            <w:r>
              <w:rPr>
                <w:rFonts w:ascii="宋体" w:hAnsi="宋体"/>
                <w:bCs/>
                <w:color w:val="000000"/>
                <w:kern w:val="0"/>
                <w:szCs w:val="21"/>
              </w:rPr>
              <w:t>项目</w:t>
            </w:r>
          </w:p>
        </w:tc>
        <w:tc>
          <w:tcPr>
            <w:tcW w:w="940"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1BA71EB" w14:textId="13DCAC45" w:rsidR="003B35DC" w:rsidRDefault="00877547" w:rsidP="00A84C73">
            <w:pPr>
              <w:widowControl/>
              <w:rPr>
                <w:rFonts w:ascii="宋体" w:hAnsi="宋体" w:hint="eastAsia"/>
                <w:bCs/>
                <w:color w:val="000000"/>
                <w:kern w:val="0"/>
                <w:szCs w:val="21"/>
              </w:rPr>
            </w:pPr>
            <w:r>
              <w:rPr>
                <w:rFonts w:ascii="宋体" w:hAnsi="宋体"/>
                <w:bCs/>
                <w:color w:val="000000"/>
                <w:kern w:val="0"/>
                <w:szCs w:val="21"/>
              </w:rPr>
              <w:t>202</w:t>
            </w:r>
            <w:r w:rsidR="00D00A7D">
              <w:rPr>
                <w:rFonts w:ascii="宋体" w:hAnsi="宋体" w:hint="eastAsia"/>
                <w:bCs/>
                <w:color w:val="000000"/>
                <w:kern w:val="0"/>
                <w:szCs w:val="21"/>
              </w:rPr>
              <w:t>5</w:t>
            </w:r>
            <w:r>
              <w:rPr>
                <w:rFonts w:ascii="宋体" w:hAnsi="宋体"/>
                <w:bCs/>
                <w:color w:val="000000"/>
                <w:kern w:val="0"/>
                <w:szCs w:val="21"/>
              </w:rPr>
              <w:t>年</w:t>
            </w:r>
          </w:p>
        </w:tc>
        <w:tc>
          <w:tcPr>
            <w:tcW w:w="930"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8B119B6" w14:textId="33F3A2EA" w:rsidR="003B35DC" w:rsidRDefault="00AC0668" w:rsidP="00A84C73">
            <w:pPr>
              <w:widowControl/>
              <w:rPr>
                <w:rFonts w:ascii="宋体" w:hAnsi="宋体" w:hint="eastAsia"/>
                <w:bCs/>
                <w:color w:val="000000"/>
                <w:kern w:val="0"/>
                <w:szCs w:val="21"/>
              </w:rPr>
            </w:pPr>
            <w:r>
              <w:rPr>
                <w:rFonts w:ascii="宋体" w:hAnsi="宋体"/>
                <w:bCs/>
                <w:color w:val="000000"/>
                <w:kern w:val="0"/>
                <w:szCs w:val="21"/>
              </w:rPr>
              <w:t>202</w:t>
            </w:r>
            <w:r w:rsidR="00D00A7D">
              <w:rPr>
                <w:rFonts w:ascii="宋体" w:hAnsi="宋体" w:hint="eastAsia"/>
                <w:bCs/>
                <w:color w:val="000000"/>
                <w:kern w:val="0"/>
                <w:szCs w:val="21"/>
              </w:rPr>
              <w:t>4</w:t>
            </w:r>
            <w:r>
              <w:rPr>
                <w:rFonts w:ascii="宋体" w:hAnsi="宋体"/>
                <w:bCs/>
                <w:color w:val="000000"/>
                <w:kern w:val="0"/>
                <w:szCs w:val="21"/>
              </w:rPr>
              <w:t>年</w:t>
            </w:r>
          </w:p>
        </w:tc>
        <w:tc>
          <w:tcPr>
            <w:tcW w:w="930"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D34570D" w14:textId="77777777" w:rsidR="003B35DC" w:rsidRDefault="00877547" w:rsidP="003A2116">
            <w:pPr>
              <w:widowControl/>
              <w:rPr>
                <w:rFonts w:ascii="宋体" w:hAnsi="宋体" w:hint="eastAsia"/>
                <w:bCs/>
                <w:color w:val="000000"/>
                <w:kern w:val="0"/>
                <w:szCs w:val="21"/>
              </w:rPr>
            </w:pPr>
            <w:r>
              <w:rPr>
                <w:rFonts w:ascii="宋体" w:hAnsi="宋体"/>
                <w:color w:val="000000"/>
                <w:kern w:val="0"/>
                <w:szCs w:val="21"/>
              </w:rPr>
              <w:t>增减金额</w:t>
            </w:r>
          </w:p>
        </w:tc>
        <w:tc>
          <w:tcPr>
            <w:tcW w:w="920"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BFC51FC" w14:textId="77777777" w:rsidR="003B35DC" w:rsidRDefault="00877547" w:rsidP="003A2116">
            <w:pPr>
              <w:widowControl/>
              <w:rPr>
                <w:rFonts w:ascii="宋体" w:hAnsi="宋体" w:hint="eastAsia"/>
                <w:bCs/>
                <w:color w:val="000000"/>
                <w:kern w:val="0"/>
                <w:szCs w:val="21"/>
              </w:rPr>
            </w:pPr>
            <w:r>
              <w:rPr>
                <w:rFonts w:ascii="宋体" w:hAnsi="宋体"/>
                <w:color w:val="000000"/>
                <w:kern w:val="0"/>
                <w:szCs w:val="21"/>
              </w:rPr>
              <w:t>同比增减率</w:t>
            </w:r>
          </w:p>
        </w:tc>
      </w:tr>
      <w:tr w:rsidR="008B26A2" w14:paraId="5E3DFC41" w14:textId="77777777" w:rsidTr="008B26A2">
        <w:trPr>
          <w:trHeight w:val="255"/>
        </w:trPr>
        <w:tc>
          <w:tcPr>
            <w:tcW w:w="1280" w:type="pct"/>
            <w:tcBorders>
              <w:top w:val="nil"/>
              <w:left w:val="single" w:sz="4" w:space="0" w:color="auto"/>
              <w:bottom w:val="single" w:sz="4" w:space="0" w:color="auto"/>
              <w:right w:val="single" w:sz="4" w:space="0" w:color="auto"/>
            </w:tcBorders>
            <w:noWrap/>
          </w:tcPr>
          <w:p w14:paraId="2CB00C6D" w14:textId="7086F27E" w:rsidR="008B26A2" w:rsidRDefault="008B26A2" w:rsidP="008B26A2">
            <w:pPr>
              <w:widowControl/>
              <w:rPr>
                <w:rFonts w:ascii="宋体" w:hAnsi="宋体" w:hint="eastAsia"/>
                <w:color w:val="000000"/>
                <w:kern w:val="0"/>
                <w:szCs w:val="21"/>
              </w:rPr>
            </w:pPr>
            <w:r w:rsidRPr="00AC0668">
              <w:rPr>
                <w:rFonts w:ascii="宋体" w:hAnsi="宋体" w:hint="eastAsia"/>
                <w:color w:val="000000"/>
                <w:kern w:val="0"/>
                <w:szCs w:val="21"/>
              </w:rPr>
              <w:t>其他收益</w:t>
            </w:r>
          </w:p>
        </w:tc>
        <w:tc>
          <w:tcPr>
            <w:tcW w:w="940" w:type="pct"/>
            <w:tcBorders>
              <w:top w:val="nil"/>
              <w:left w:val="nil"/>
              <w:bottom w:val="single" w:sz="4" w:space="0" w:color="auto"/>
              <w:right w:val="single" w:sz="4" w:space="0" w:color="auto"/>
            </w:tcBorders>
            <w:noWrap/>
            <w:vAlign w:val="center"/>
          </w:tcPr>
          <w:p w14:paraId="78D98703" w14:textId="00CE77E1"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3,600 </w:t>
            </w:r>
          </w:p>
        </w:tc>
        <w:tc>
          <w:tcPr>
            <w:tcW w:w="930" w:type="pct"/>
            <w:tcBorders>
              <w:top w:val="nil"/>
              <w:left w:val="nil"/>
              <w:bottom w:val="single" w:sz="4" w:space="0" w:color="auto"/>
              <w:right w:val="single" w:sz="4" w:space="0" w:color="auto"/>
            </w:tcBorders>
            <w:noWrap/>
            <w:vAlign w:val="center"/>
          </w:tcPr>
          <w:p w14:paraId="4C1D80FD" w14:textId="378280E3"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5,064 </w:t>
            </w:r>
          </w:p>
        </w:tc>
        <w:tc>
          <w:tcPr>
            <w:tcW w:w="930" w:type="pct"/>
            <w:tcBorders>
              <w:top w:val="nil"/>
              <w:left w:val="nil"/>
              <w:bottom w:val="single" w:sz="4" w:space="0" w:color="auto"/>
              <w:right w:val="single" w:sz="4" w:space="0" w:color="auto"/>
            </w:tcBorders>
            <w:noWrap/>
            <w:vAlign w:val="center"/>
          </w:tcPr>
          <w:p w14:paraId="22EA5057" w14:textId="5DE2D9B7"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-1,464</w:t>
            </w:r>
          </w:p>
        </w:tc>
        <w:tc>
          <w:tcPr>
            <w:tcW w:w="920" w:type="pct"/>
            <w:tcBorders>
              <w:top w:val="nil"/>
              <w:left w:val="nil"/>
              <w:bottom w:val="single" w:sz="4" w:space="0" w:color="auto"/>
              <w:right w:val="single" w:sz="4" w:space="0" w:color="auto"/>
            </w:tcBorders>
            <w:noWrap/>
            <w:vAlign w:val="center"/>
          </w:tcPr>
          <w:p w14:paraId="1218D8B3" w14:textId="0D6F9372"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-28.91%</w:t>
            </w:r>
          </w:p>
        </w:tc>
      </w:tr>
      <w:tr w:rsidR="008B26A2" w14:paraId="57402E35" w14:textId="77777777" w:rsidTr="008B26A2">
        <w:trPr>
          <w:trHeight w:val="255"/>
        </w:trPr>
        <w:tc>
          <w:tcPr>
            <w:tcW w:w="1280" w:type="pct"/>
            <w:tcBorders>
              <w:top w:val="nil"/>
              <w:left w:val="single" w:sz="4" w:space="0" w:color="auto"/>
              <w:bottom w:val="single" w:sz="4" w:space="0" w:color="auto"/>
              <w:right w:val="single" w:sz="4" w:space="0" w:color="auto"/>
            </w:tcBorders>
            <w:noWrap/>
          </w:tcPr>
          <w:p w14:paraId="0B03306B" w14:textId="403C6E42" w:rsidR="008B26A2" w:rsidRDefault="008B26A2" w:rsidP="008B26A2">
            <w:pPr>
              <w:widowControl/>
              <w:rPr>
                <w:rFonts w:ascii="宋体" w:hAnsi="宋体" w:hint="eastAsia"/>
                <w:color w:val="000000"/>
                <w:kern w:val="0"/>
                <w:szCs w:val="21"/>
              </w:rPr>
            </w:pPr>
            <w:r w:rsidRPr="00AC0668">
              <w:rPr>
                <w:rFonts w:ascii="宋体" w:hAnsi="宋体" w:hint="eastAsia"/>
                <w:color w:val="000000"/>
                <w:kern w:val="0"/>
                <w:szCs w:val="21"/>
              </w:rPr>
              <w:t>投资收益</w:t>
            </w:r>
          </w:p>
        </w:tc>
        <w:tc>
          <w:tcPr>
            <w:tcW w:w="940" w:type="pct"/>
            <w:tcBorders>
              <w:top w:val="nil"/>
              <w:left w:val="nil"/>
              <w:bottom w:val="single" w:sz="4" w:space="0" w:color="auto"/>
              <w:right w:val="single" w:sz="4" w:space="0" w:color="auto"/>
            </w:tcBorders>
            <w:noWrap/>
            <w:vAlign w:val="center"/>
          </w:tcPr>
          <w:p w14:paraId="14653471" w14:textId="790E984A"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-894 </w:t>
            </w:r>
          </w:p>
        </w:tc>
        <w:tc>
          <w:tcPr>
            <w:tcW w:w="930" w:type="pct"/>
            <w:tcBorders>
              <w:top w:val="nil"/>
              <w:left w:val="nil"/>
              <w:bottom w:val="single" w:sz="4" w:space="0" w:color="auto"/>
              <w:right w:val="single" w:sz="4" w:space="0" w:color="auto"/>
            </w:tcBorders>
            <w:noWrap/>
            <w:vAlign w:val="center"/>
          </w:tcPr>
          <w:p w14:paraId="0999960A" w14:textId="4296FD57"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362 </w:t>
            </w:r>
          </w:p>
        </w:tc>
        <w:tc>
          <w:tcPr>
            <w:tcW w:w="930" w:type="pct"/>
            <w:tcBorders>
              <w:top w:val="nil"/>
              <w:left w:val="nil"/>
              <w:bottom w:val="single" w:sz="4" w:space="0" w:color="auto"/>
              <w:right w:val="single" w:sz="4" w:space="0" w:color="auto"/>
            </w:tcBorders>
            <w:noWrap/>
            <w:vAlign w:val="center"/>
          </w:tcPr>
          <w:p w14:paraId="641DBFF1" w14:textId="4FE05F56"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-1,256</w:t>
            </w:r>
          </w:p>
        </w:tc>
        <w:tc>
          <w:tcPr>
            <w:tcW w:w="920" w:type="pct"/>
            <w:tcBorders>
              <w:top w:val="nil"/>
              <w:left w:val="nil"/>
              <w:bottom w:val="single" w:sz="4" w:space="0" w:color="auto"/>
              <w:right w:val="single" w:sz="4" w:space="0" w:color="auto"/>
            </w:tcBorders>
            <w:noWrap/>
            <w:vAlign w:val="center"/>
          </w:tcPr>
          <w:p w14:paraId="6459773C" w14:textId="030A5FB6"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-346.96%</w:t>
            </w:r>
          </w:p>
        </w:tc>
      </w:tr>
      <w:tr w:rsidR="008B26A2" w14:paraId="40BC8301" w14:textId="77777777" w:rsidTr="008B26A2">
        <w:trPr>
          <w:trHeight w:val="255"/>
        </w:trPr>
        <w:tc>
          <w:tcPr>
            <w:tcW w:w="1280" w:type="pct"/>
            <w:tcBorders>
              <w:top w:val="nil"/>
              <w:left w:val="single" w:sz="4" w:space="0" w:color="auto"/>
              <w:bottom w:val="single" w:sz="4" w:space="0" w:color="auto"/>
              <w:right w:val="single" w:sz="4" w:space="0" w:color="auto"/>
            </w:tcBorders>
            <w:noWrap/>
          </w:tcPr>
          <w:p w14:paraId="5439994B" w14:textId="1335F545" w:rsidR="008B26A2" w:rsidRDefault="008B26A2" w:rsidP="008B26A2">
            <w:pPr>
              <w:widowControl/>
              <w:rPr>
                <w:rFonts w:ascii="宋体" w:hAnsi="宋体" w:hint="eastAsia"/>
                <w:color w:val="000000"/>
                <w:kern w:val="0"/>
                <w:szCs w:val="21"/>
              </w:rPr>
            </w:pPr>
            <w:r w:rsidRPr="00AC0668">
              <w:rPr>
                <w:rFonts w:ascii="宋体" w:hAnsi="宋体" w:hint="eastAsia"/>
                <w:color w:val="000000"/>
                <w:kern w:val="0"/>
                <w:szCs w:val="21"/>
              </w:rPr>
              <w:t>信用减值损失</w:t>
            </w:r>
          </w:p>
        </w:tc>
        <w:tc>
          <w:tcPr>
            <w:tcW w:w="940" w:type="pct"/>
            <w:tcBorders>
              <w:top w:val="nil"/>
              <w:left w:val="nil"/>
              <w:bottom w:val="single" w:sz="4" w:space="0" w:color="auto"/>
              <w:right w:val="single" w:sz="4" w:space="0" w:color="auto"/>
            </w:tcBorders>
            <w:noWrap/>
            <w:vAlign w:val="center"/>
          </w:tcPr>
          <w:p w14:paraId="40BABD9E" w14:textId="53BE66B4"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-3,544 </w:t>
            </w:r>
          </w:p>
        </w:tc>
        <w:tc>
          <w:tcPr>
            <w:tcW w:w="930" w:type="pct"/>
            <w:tcBorders>
              <w:top w:val="nil"/>
              <w:left w:val="nil"/>
              <w:bottom w:val="single" w:sz="4" w:space="0" w:color="auto"/>
              <w:right w:val="single" w:sz="4" w:space="0" w:color="auto"/>
            </w:tcBorders>
            <w:noWrap/>
            <w:vAlign w:val="center"/>
          </w:tcPr>
          <w:p w14:paraId="57093B67" w14:textId="4E328007"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-5,865 </w:t>
            </w:r>
          </w:p>
        </w:tc>
        <w:tc>
          <w:tcPr>
            <w:tcW w:w="930" w:type="pct"/>
            <w:tcBorders>
              <w:top w:val="nil"/>
              <w:left w:val="nil"/>
              <w:bottom w:val="single" w:sz="4" w:space="0" w:color="auto"/>
              <w:right w:val="single" w:sz="4" w:space="0" w:color="auto"/>
            </w:tcBorders>
            <w:noWrap/>
            <w:vAlign w:val="center"/>
          </w:tcPr>
          <w:p w14:paraId="1838B291" w14:textId="2D197349"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2,321</w:t>
            </w:r>
          </w:p>
        </w:tc>
        <w:tc>
          <w:tcPr>
            <w:tcW w:w="920" w:type="pct"/>
            <w:tcBorders>
              <w:top w:val="nil"/>
              <w:left w:val="nil"/>
              <w:bottom w:val="single" w:sz="4" w:space="0" w:color="auto"/>
              <w:right w:val="single" w:sz="4" w:space="0" w:color="auto"/>
            </w:tcBorders>
            <w:noWrap/>
            <w:vAlign w:val="center"/>
          </w:tcPr>
          <w:p w14:paraId="5227177A" w14:textId="76B22C3A"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39.57%</w:t>
            </w:r>
          </w:p>
        </w:tc>
      </w:tr>
      <w:tr w:rsidR="008B26A2" w14:paraId="568EFD2B" w14:textId="77777777" w:rsidTr="008B26A2">
        <w:trPr>
          <w:trHeight w:val="255"/>
        </w:trPr>
        <w:tc>
          <w:tcPr>
            <w:tcW w:w="1280" w:type="pct"/>
            <w:tcBorders>
              <w:top w:val="nil"/>
              <w:left w:val="single" w:sz="4" w:space="0" w:color="auto"/>
              <w:bottom w:val="single" w:sz="4" w:space="0" w:color="auto"/>
              <w:right w:val="single" w:sz="4" w:space="0" w:color="auto"/>
            </w:tcBorders>
            <w:noWrap/>
          </w:tcPr>
          <w:p w14:paraId="1AFA957B" w14:textId="0494C9CC" w:rsidR="008B26A2" w:rsidRDefault="008B26A2" w:rsidP="008B26A2">
            <w:pPr>
              <w:widowControl/>
              <w:rPr>
                <w:rFonts w:ascii="宋体" w:hAnsi="宋体" w:hint="eastAsia"/>
                <w:color w:val="000000"/>
                <w:kern w:val="0"/>
                <w:szCs w:val="21"/>
              </w:rPr>
            </w:pPr>
            <w:r w:rsidRPr="00AC0668">
              <w:rPr>
                <w:rFonts w:ascii="宋体" w:hAnsi="宋体" w:hint="eastAsia"/>
                <w:color w:val="000000"/>
                <w:kern w:val="0"/>
                <w:szCs w:val="21"/>
              </w:rPr>
              <w:t>资产减值损失</w:t>
            </w:r>
          </w:p>
        </w:tc>
        <w:tc>
          <w:tcPr>
            <w:tcW w:w="940" w:type="pct"/>
            <w:tcBorders>
              <w:top w:val="nil"/>
              <w:left w:val="nil"/>
              <w:bottom w:val="single" w:sz="4" w:space="0" w:color="auto"/>
              <w:right w:val="single" w:sz="4" w:space="0" w:color="auto"/>
            </w:tcBorders>
            <w:noWrap/>
            <w:vAlign w:val="center"/>
          </w:tcPr>
          <w:p w14:paraId="1A455A8A" w14:textId="3C039824"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-41,862 </w:t>
            </w:r>
          </w:p>
        </w:tc>
        <w:tc>
          <w:tcPr>
            <w:tcW w:w="930" w:type="pct"/>
            <w:tcBorders>
              <w:top w:val="nil"/>
              <w:left w:val="nil"/>
              <w:bottom w:val="single" w:sz="4" w:space="0" w:color="auto"/>
              <w:right w:val="single" w:sz="4" w:space="0" w:color="auto"/>
            </w:tcBorders>
            <w:noWrap/>
            <w:vAlign w:val="center"/>
          </w:tcPr>
          <w:p w14:paraId="71AF2537" w14:textId="53319100"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-19,334 </w:t>
            </w:r>
          </w:p>
        </w:tc>
        <w:tc>
          <w:tcPr>
            <w:tcW w:w="930" w:type="pct"/>
            <w:tcBorders>
              <w:top w:val="nil"/>
              <w:left w:val="nil"/>
              <w:bottom w:val="single" w:sz="4" w:space="0" w:color="auto"/>
              <w:right w:val="single" w:sz="4" w:space="0" w:color="auto"/>
            </w:tcBorders>
            <w:noWrap/>
            <w:vAlign w:val="center"/>
          </w:tcPr>
          <w:p w14:paraId="67339AF3" w14:textId="7186E672"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-22,528</w:t>
            </w:r>
          </w:p>
        </w:tc>
        <w:tc>
          <w:tcPr>
            <w:tcW w:w="920" w:type="pct"/>
            <w:tcBorders>
              <w:top w:val="nil"/>
              <w:left w:val="nil"/>
              <w:bottom w:val="single" w:sz="4" w:space="0" w:color="auto"/>
              <w:right w:val="single" w:sz="4" w:space="0" w:color="auto"/>
            </w:tcBorders>
            <w:noWrap/>
            <w:vAlign w:val="center"/>
          </w:tcPr>
          <w:p w14:paraId="41CC52BD" w14:textId="3E92D10C"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-116.52%</w:t>
            </w:r>
          </w:p>
        </w:tc>
      </w:tr>
      <w:tr w:rsidR="008B26A2" w14:paraId="22C7E87F" w14:textId="77777777" w:rsidTr="008B26A2">
        <w:trPr>
          <w:trHeight w:val="255"/>
        </w:trPr>
        <w:tc>
          <w:tcPr>
            <w:tcW w:w="1280" w:type="pct"/>
            <w:tcBorders>
              <w:top w:val="nil"/>
              <w:left w:val="single" w:sz="4" w:space="0" w:color="auto"/>
              <w:bottom w:val="single" w:sz="4" w:space="0" w:color="auto"/>
              <w:right w:val="single" w:sz="4" w:space="0" w:color="auto"/>
            </w:tcBorders>
            <w:noWrap/>
          </w:tcPr>
          <w:p w14:paraId="469332A9" w14:textId="63D3E909" w:rsidR="008B26A2" w:rsidRDefault="008B26A2" w:rsidP="008B26A2">
            <w:pPr>
              <w:widowControl/>
              <w:rPr>
                <w:rFonts w:ascii="宋体" w:hAnsi="宋体" w:hint="eastAsia"/>
                <w:color w:val="000000"/>
                <w:kern w:val="0"/>
                <w:szCs w:val="21"/>
              </w:rPr>
            </w:pPr>
            <w:r w:rsidRPr="00AC0668">
              <w:rPr>
                <w:rFonts w:ascii="宋体" w:hAnsi="宋体" w:hint="eastAsia"/>
                <w:color w:val="000000"/>
                <w:kern w:val="0"/>
                <w:szCs w:val="21"/>
              </w:rPr>
              <w:t>资产处置收益</w:t>
            </w:r>
          </w:p>
        </w:tc>
        <w:tc>
          <w:tcPr>
            <w:tcW w:w="940" w:type="pct"/>
            <w:tcBorders>
              <w:top w:val="nil"/>
              <w:left w:val="nil"/>
              <w:bottom w:val="single" w:sz="4" w:space="0" w:color="auto"/>
              <w:right w:val="single" w:sz="4" w:space="0" w:color="auto"/>
            </w:tcBorders>
            <w:noWrap/>
            <w:vAlign w:val="center"/>
          </w:tcPr>
          <w:p w14:paraId="180B67A5" w14:textId="0DD21D68"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88 </w:t>
            </w:r>
          </w:p>
        </w:tc>
        <w:tc>
          <w:tcPr>
            <w:tcW w:w="930" w:type="pct"/>
            <w:tcBorders>
              <w:top w:val="nil"/>
              <w:left w:val="nil"/>
              <w:bottom w:val="single" w:sz="4" w:space="0" w:color="auto"/>
              <w:right w:val="single" w:sz="4" w:space="0" w:color="auto"/>
            </w:tcBorders>
            <w:noWrap/>
            <w:vAlign w:val="center"/>
          </w:tcPr>
          <w:p w14:paraId="0893EE26" w14:textId="4210F11C"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439 </w:t>
            </w:r>
          </w:p>
        </w:tc>
        <w:tc>
          <w:tcPr>
            <w:tcW w:w="930" w:type="pct"/>
            <w:tcBorders>
              <w:top w:val="nil"/>
              <w:left w:val="nil"/>
              <w:bottom w:val="single" w:sz="4" w:space="0" w:color="auto"/>
              <w:right w:val="single" w:sz="4" w:space="0" w:color="auto"/>
            </w:tcBorders>
            <w:noWrap/>
            <w:vAlign w:val="center"/>
          </w:tcPr>
          <w:p w14:paraId="2E23ED0A" w14:textId="25529B85"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-351</w:t>
            </w:r>
          </w:p>
        </w:tc>
        <w:tc>
          <w:tcPr>
            <w:tcW w:w="920" w:type="pct"/>
            <w:tcBorders>
              <w:top w:val="nil"/>
              <w:left w:val="nil"/>
              <w:bottom w:val="single" w:sz="4" w:space="0" w:color="auto"/>
              <w:right w:val="single" w:sz="4" w:space="0" w:color="auto"/>
            </w:tcBorders>
            <w:noWrap/>
            <w:vAlign w:val="center"/>
          </w:tcPr>
          <w:p w14:paraId="33496C2E" w14:textId="3D5BCBBD"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-79.95%</w:t>
            </w:r>
          </w:p>
        </w:tc>
      </w:tr>
      <w:tr w:rsidR="008B26A2" w14:paraId="35A52ACB" w14:textId="77777777" w:rsidTr="008B26A2">
        <w:trPr>
          <w:trHeight w:val="255"/>
        </w:trPr>
        <w:tc>
          <w:tcPr>
            <w:tcW w:w="1280" w:type="pct"/>
            <w:tcBorders>
              <w:top w:val="nil"/>
              <w:left w:val="single" w:sz="4" w:space="0" w:color="auto"/>
              <w:bottom w:val="single" w:sz="4" w:space="0" w:color="auto"/>
              <w:right w:val="single" w:sz="4" w:space="0" w:color="auto"/>
            </w:tcBorders>
            <w:noWrap/>
          </w:tcPr>
          <w:p w14:paraId="6A2F040F" w14:textId="71D915CC" w:rsidR="008B26A2" w:rsidRDefault="008B26A2" w:rsidP="008B26A2">
            <w:pPr>
              <w:widowControl/>
              <w:rPr>
                <w:rFonts w:ascii="宋体" w:hAnsi="宋体" w:hint="eastAsia"/>
                <w:color w:val="000000"/>
                <w:kern w:val="0"/>
                <w:szCs w:val="21"/>
              </w:rPr>
            </w:pPr>
            <w:r w:rsidRPr="00AC0668">
              <w:rPr>
                <w:rFonts w:ascii="宋体" w:hAnsi="宋体" w:hint="eastAsia"/>
                <w:color w:val="000000"/>
                <w:kern w:val="0"/>
                <w:szCs w:val="21"/>
              </w:rPr>
              <w:lastRenderedPageBreak/>
              <w:t>所得税费用</w:t>
            </w:r>
          </w:p>
        </w:tc>
        <w:tc>
          <w:tcPr>
            <w:tcW w:w="940" w:type="pct"/>
            <w:tcBorders>
              <w:top w:val="nil"/>
              <w:left w:val="nil"/>
              <w:bottom w:val="single" w:sz="4" w:space="0" w:color="auto"/>
              <w:right w:val="single" w:sz="4" w:space="0" w:color="auto"/>
            </w:tcBorders>
            <w:noWrap/>
            <w:vAlign w:val="center"/>
          </w:tcPr>
          <w:p w14:paraId="28BBAEEF" w14:textId="7A387A12"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325 </w:t>
            </w:r>
          </w:p>
        </w:tc>
        <w:tc>
          <w:tcPr>
            <w:tcW w:w="930" w:type="pct"/>
            <w:tcBorders>
              <w:top w:val="nil"/>
              <w:left w:val="nil"/>
              <w:bottom w:val="single" w:sz="4" w:space="0" w:color="auto"/>
              <w:right w:val="single" w:sz="4" w:space="0" w:color="auto"/>
            </w:tcBorders>
            <w:noWrap/>
            <w:vAlign w:val="center"/>
          </w:tcPr>
          <w:p w14:paraId="4332C77D" w14:textId="6EDBAAFF"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 xml:space="preserve"> 753 </w:t>
            </w:r>
          </w:p>
        </w:tc>
        <w:tc>
          <w:tcPr>
            <w:tcW w:w="930" w:type="pct"/>
            <w:tcBorders>
              <w:top w:val="nil"/>
              <w:left w:val="nil"/>
              <w:bottom w:val="single" w:sz="4" w:space="0" w:color="auto"/>
              <w:right w:val="single" w:sz="4" w:space="0" w:color="auto"/>
            </w:tcBorders>
            <w:noWrap/>
            <w:vAlign w:val="center"/>
          </w:tcPr>
          <w:p w14:paraId="0E1BD6E3" w14:textId="233F07DC"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-428</w:t>
            </w:r>
          </w:p>
        </w:tc>
        <w:tc>
          <w:tcPr>
            <w:tcW w:w="920" w:type="pct"/>
            <w:tcBorders>
              <w:top w:val="nil"/>
              <w:left w:val="nil"/>
              <w:bottom w:val="single" w:sz="4" w:space="0" w:color="auto"/>
              <w:right w:val="single" w:sz="4" w:space="0" w:color="auto"/>
            </w:tcBorders>
            <w:noWrap/>
            <w:vAlign w:val="center"/>
          </w:tcPr>
          <w:p w14:paraId="5D0F7916" w14:textId="2FF63624" w:rsidR="008B26A2" w:rsidRDefault="008B26A2" w:rsidP="008B26A2">
            <w:pPr>
              <w:widowControl/>
              <w:jc w:val="right"/>
              <w:rPr>
                <w:rFonts w:ascii="宋体" w:hAnsi="宋体" w:hint="eastAsia"/>
                <w:color w:val="000000"/>
                <w:kern w:val="0"/>
                <w:szCs w:val="21"/>
              </w:rPr>
            </w:pPr>
            <w:r w:rsidRPr="008B26A2">
              <w:rPr>
                <w:rFonts w:ascii="宋体" w:hAnsi="宋体"/>
                <w:color w:val="000000"/>
                <w:kern w:val="0"/>
                <w:szCs w:val="21"/>
              </w:rPr>
              <w:t>-56.84%</w:t>
            </w:r>
          </w:p>
        </w:tc>
      </w:tr>
    </w:tbl>
    <w:p w14:paraId="7E037236" w14:textId="67304CAF"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w:t>
      </w:r>
      <w:r w:rsidR="00AC0668">
        <w:rPr>
          <w:rFonts w:hAnsi="宋体" w:cs="Times New Roman"/>
        </w:rPr>
        <w:t>1</w:t>
      </w:r>
      <w:r>
        <w:rPr>
          <w:rFonts w:hAnsi="宋体" w:cs="Times New Roman"/>
        </w:rPr>
        <w:t>）</w:t>
      </w:r>
      <w:r>
        <w:rPr>
          <w:rFonts w:hAnsi="宋体" w:cs="Times New Roman" w:hint="eastAsia"/>
        </w:rPr>
        <w:t>其他收益</w:t>
      </w:r>
      <w:r>
        <w:rPr>
          <w:rFonts w:hAnsi="宋体" w:cs="Times New Roman"/>
        </w:rPr>
        <w:t>，较上期</w:t>
      </w:r>
      <w:r>
        <w:rPr>
          <w:rFonts w:hAnsi="宋体" w:cs="Times New Roman" w:hint="eastAsia"/>
        </w:rPr>
        <w:t>减少</w:t>
      </w:r>
      <w:r w:rsidR="00D00A7D">
        <w:rPr>
          <w:rFonts w:hAnsi="宋体" w:hint="eastAsia"/>
          <w:szCs w:val="21"/>
        </w:rPr>
        <w:t>1,464</w:t>
      </w:r>
      <w:r>
        <w:rPr>
          <w:rFonts w:hAnsi="宋体" w:cs="Times New Roman"/>
        </w:rPr>
        <w:t>万元，</w:t>
      </w:r>
      <w:r w:rsidR="00D00A7D">
        <w:rPr>
          <w:rFonts w:hAnsi="宋体" w:cs="Times New Roman" w:hint="eastAsia"/>
        </w:rPr>
        <w:t>主要是报告期内政府补助减少所致</w:t>
      </w:r>
      <w:r>
        <w:rPr>
          <w:rFonts w:hAnsi="宋体" w:cs="Times New Roman"/>
        </w:rPr>
        <w:t>。</w:t>
      </w:r>
    </w:p>
    <w:p w14:paraId="7F9244D5" w14:textId="0D196012" w:rsidR="00AC0668" w:rsidRDefault="00AC0668"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（2）投资收益，较上期</w:t>
      </w:r>
      <w:r w:rsidR="00D00A7D">
        <w:rPr>
          <w:rFonts w:hAnsi="宋体" w:cs="Times New Roman" w:hint="eastAsia"/>
        </w:rPr>
        <w:t>减少1,25</w:t>
      </w:r>
      <w:r w:rsidR="001206A3">
        <w:rPr>
          <w:rFonts w:hAnsi="宋体" w:cs="Times New Roman" w:hint="eastAsia"/>
        </w:rPr>
        <w:t>6</w:t>
      </w:r>
      <w:r>
        <w:rPr>
          <w:rFonts w:hAnsi="宋体" w:cs="Times New Roman"/>
        </w:rPr>
        <w:t>万元，</w:t>
      </w:r>
      <w:r>
        <w:rPr>
          <w:rFonts w:hAnsi="宋体" w:cs="Times New Roman" w:hint="eastAsia"/>
        </w:rPr>
        <w:t>主要是</w:t>
      </w:r>
      <w:r w:rsidR="00D00A7D">
        <w:rPr>
          <w:rFonts w:hAnsi="宋体" w:cs="Times New Roman" w:hint="eastAsia"/>
        </w:rPr>
        <w:t>报告期内</w:t>
      </w:r>
      <w:r w:rsidR="002B430B">
        <w:rPr>
          <w:rFonts w:hAnsi="宋体" w:cs="Times New Roman" w:hint="eastAsia"/>
        </w:rPr>
        <w:t>确认债务重组损失所致。</w:t>
      </w:r>
    </w:p>
    <w:p w14:paraId="6A505F0C" w14:textId="47D7A5EE" w:rsidR="000B52E3" w:rsidRDefault="000B52E3"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（3）</w:t>
      </w:r>
      <w:r>
        <w:rPr>
          <w:rFonts w:hAnsi="宋体" w:cs="Times New Roman" w:hint="eastAsia"/>
        </w:rPr>
        <w:t>信用减值损失</w:t>
      </w:r>
      <w:r>
        <w:rPr>
          <w:rFonts w:hAnsi="宋体" w:cs="Times New Roman"/>
        </w:rPr>
        <w:t>，较上期</w:t>
      </w:r>
      <w:r>
        <w:rPr>
          <w:rFonts w:hAnsi="宋体" w:cs="Times New Roman" w:hint="eastAsia"/>
        </w:rPr>
        <w:t>计提</w:t>
      </w:r>
      <w:r w:rsidR="002B430B">
        <w:rPr>
          <w:rFonts w:hAnsi="宋体" w:cs="Times New Roman" w:hint="eastAsia"/>
        </w:rPr>
        <w:t>减少</w:t>
      </w:r>
      <w:r w:rsidR="002B430B">
        <w:rPr>
          <w:rFonts w:hAnsi="宋体" w:hint="eastAsia"/>
          <w:szCs w:val="21"/>
        </w:rPr>
        <w:t>2</w:t>
      </w:r>
      <w:r w:rsidR="002764D6" w:rsidRPr="002764D6">
        <w:rPr>
          <w:rFonts w:hAnsi="宋体"/>
          <w:szCs w:val="21"/>
        </w:rPr>
        <w:t>,</w:t>
      </w:r>
      <w:r w:rsidR="0037274C">
        <w:rPr>
          <w:rFonts w:hAnsi="宋体" w:hint="eastAsia"/>
          <w:szCs w:val="21"/>
        </w:rPr>
        <w:t>321</w:t>
      </w:r>
      <w:r>
        <w:rPr>
          <w:rFonts w:hAnsi="宋体" w:cs="Times New Roman"/>
        </w:rPr>
        <w:t>万元，</w:t>
      </w:r>
      <w:r w:rsidRPr="00874BB3">
        <w:rPr>
          <w:rFonts w:hAnsi="宋体" w:cs="Times New Roman" w:hint="eastAsia"/>
        </w:rPr>
        <w:t>主要是</w:t>
      </w:r>
      <w:r w:rsidR="002B430B">
        <w:rPr>
          <w:rFonts w:hAnsi="宋体" w:cs="Times New Roman" w:hint="eastAsia"/>
        </w:rPr>
        <w:t>上年同期</w:t>
      </w:r>
      <w:r w:rsidR="002764D6">
        <w:rPr>
          <w:rFonts w:hAnsi="宋体" w:cs="Times New Roman" w:hint="eastAsia"/>
        </w:rPr>
        <w:t>单项计提信用减值损失增加</w:t>
      </w:r>
      <w:r w:rsidRPr="00874BB3">
        <w:rPr>
          <w:rFonts w:hAnsi="宋体" w:cs="Times New Roman" w:hint="eastAsia"/>
        </w:rPr>
        <w:t>所致。</w:t>
      </w:r>
    </w:p>
    <w:p w14:paraId="654178E7" w14:textId="222671D3" w:rsidR="003B35DC" w:rsidRDefault="00877547"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w:t>
      </w:r>
      <w:r w:rsidR="000B52E3">
        <w:rPr>
          <w:rFonts w:hAnsi="宋体" w:cs="Times New Roman"/>
        </w:rPr>
        <w:t>4</w:t>
      </w:r>
      <w:r>
        <w:rPr>
          <w:rFonts w:hAnsi="宋体" w:cs="Times New Roman"/>
        </w:rPr>
        <w:t>）</w:t>
      </w:r>
      <w:r w:rsidRPr="00874BB3">
        <w:rPr>
          <w:rFonts w:hAnsi="宋体" w:cs="Times New Roman"/>
        </w:rPr>
        <w:t>资产减值损失，较上期</w:t>
      </w:r>
      <w:r w:rsidR="00C615E0" w:rsidRPr="00874BB3">
        <w:rPr>
          <w:rFonts w:hAnsi="宋体" w:cs="Times New Roman" w:hint="eastAsia"/>
        </w:rPr>
        <w:t>计提</w:t>
      </w:r>
      <w:r w:rsidR="002764D6">
        <w:rPr>
          <w:rFonts w:hAnsi="宋体" w:cs="Times New Roman" w:hint="eastAsia"/>
        </w:rPr>
        <w:t>增加</w:t>
      </w:r>
      <w:r w:rsidR="001206A3">
        <w:rPr>
          <w:rFonts w:hAnsi="宋体" w:cs="Times New Roman" w:hint="eastAsia"/>
        </w:rPr>
        <w:t>22</w:t>
      </w:r>
      <w:r w:rsidR="002B430B">
        <w:rPr>
          <w:rFonts w:hAnsi="宋体" w:cs="Times New Roman" w:hint="eastAsia"/>
        </w:rPr>
        <w:t>,</w:t>
      </w:r>
      <w:r w:rsidR="001206A3">
        <w:rPr>
          <w:rFonts w:hAnsi="宋体" w:cs="Times New Roman" w:hint="eastAsia"/>
        </w:rPr>
        <w:t>528</w:t>
      </w:r>
      <w:r w:rsidRPr="00874BB3">
        <w:rPr>
          <w:rFonts w:hAnsi="宋体" w:cs="Times New Roman"/>
        </w:rPr>
        <w:t>万元，</w:t>
      </w:r>
      <w:r w:rsidR="002B430B">
        <w:rPr>
          <w:rFonts w:hAnsi="宋体" w:cs="Times New Roman" w:hint="eastAsia"/>
        </w:rPr>
        <w:t>主要是报告期计提商誉及固定资产减值准备增加所致</w:t>
      </w:r>
      <w:r w:rsidRPr="00874BB3">
        <w:rPr>
          <w:rFonts w:hAnsi="宋体" w:cs="Times New Roman" w:hint="eastAsia"/>
        </w:rPr>
        <w:t>。</w:t>
      </w:r>
    </w:p>
    <w:p w14:paraId="4D7D8C92" w14:textId="61A64550" w:rsidR="003B35DC" w:rsidRDefault="000B52E3" w:rsidP="003A2116">
      <w:pPr>
        <w:pStyle w:val="Default"/>
        <w:spacing w:beforeLines="50" w:before="156" w:afterLines="50" w:after="156" w:line="420" w:lineRule="exact"/>
        <w:ind w:firstLine="420"/>
        <w:jc w:val="both"/>
        <w:rPr>
          <w:rFonts w:hAnsi="宋体" w:cs="Times New Roman" w:hint="eastAsia"/>
        </w:rPr>
      </w:pPr>
      <w:r>
        <w:rPr>
          <w:rFonts w:hAnsi="宋体" w:cs="Times New Roman"/>
        </w:rPr>
        <w:t>（5）资产处置收益</w:t>
      </w:r>
      <w:r>
        <w:rPr>
          <w:rFonts w:hAnsi="宋体" w:cs="Times New Roman" w:hint="eastAsia"/>
        </w:rPr>
        <w:t>，</w:t>
      </w:r>
      <w:r>
        <w:rPr>
          <w:rFonts w:hAnsi="宋体" w:cs="Times New Roman"/>
        </w:rPr>
        <w:t>较上期</w:t>
      </w:r>
      <w:r w:rsidR="008E35DB">
        <w:rPr>
          <w:rFonts w:hAnsi="宋体" w:cs="Times New Roman" w:hint="eastAsia"/>
        </w:rPr>
        <w:t>减少</w:t>
      </w:r>
      <w:r w:rsidR="002764D6">
        <w:rPr>
          <w:rFonts w:hAnsi="宋体"/>
          <w:szCs w:val="21"/>
        </w:rPr>
        <w:t>3</w:t>
      </w:r>
      <w:r w:rsidR="008E35DB">
        <w:rPr>
          <w:rFonts w:hAnsi="宋体" w:hint="eastAsia"/>
          <w:szCs w:val="21"/>
        </w:rPr>
        <w:t>51</w:t>
      </w:r>
      <w:r>
        <w:rPr>
          <w:rFonts w:hAnsi="宋体" w:cs="Times New Roman"/>
        </w:rPr>
        <w:t>万元</w:t>
      </w:r>
      <w:r>
        <w:rPr>
          <w:rFonts w:hAnsi="宋体" w:cs="Times New Roman" w:hint="eastAsia"/>
        </w:rPr>
        <w:t>，</w:t>
      </w:r>
      <w:r w:rsidR="002764D6">
        <w:rPr>
          <w:rFonts w:hAnsi="宋体" w:cs="Times New Roman" w:hint="eastAsia"/>
        </w:rPr>
        <w:t>主要是</w:t>
      </w:r>
      <w:r w:rsidR="008E35DB">
        <w:rPr>
          <w:rFonts w:hAnsi="宋体" w:cs="Times New Roman" w:hint="eastAsia"/>
        </w:rPr>
        <w:t>上年同期</w:t>
      </w:r>
      <w:r w:rsidR="002764D6">
        <w:rPr>
          <w:rFonts w:hAnsi="宋体" w:cs="Times New Roman" w:hint="eastAsia"/>
        </w:rPr>
        <w:t>增加土地使用权的处置导致收益增加</w:t>
      </w:r>
      <w:r w:rsidR="00877547">
        <w:rPr>
          <w:rFonts w:hAnsi="宋体" w:cs="Times New Roman"/>
        </w:rPr>
        <w:t>。</w:t>
      </w:r>
    </w:p>
    <w:p w14:paraId="1D8A428E" w14:textId="352841DB" w:rsidR="003B35DC" w:rsidRPr="00920C20" w:rsidRDefault="00877547" w:rsidP="00920C20">
      <w:pPr>
        <w:pStyle w:val="Default"/>
        <w:spacing w:beforeLines="50" w:before="156" w:afterLines="50" w:after="156" w:line="420" w:lineRule="exact"/>
        <w:ind w:firstLine="420"/>
        <w:jc w:val="both"/>
        <w:rPr>
          <w:rFonts w:hAnsi="宋体" w:hint="eastAsia"/>
          <w:szCs w:val="21"/>
        </w:rPr>
      </w:pPr>
      <w:r>
        <w:rPr>
          <w:rFonts w:hAnsi="宋体" w:cs="Times New Roman"/>
        </w:rPr>
        <w:t>（</w:t>
      </w:r>
      <w:r w:rsidR="006858E8">
        <w:rPr>
          <w:rFonts w:hAnsi="宋体" w:cs="Times New Roman"/>
        </w:rPr>
        <w:t>6</w:t>
      </w:r>
      <w:r>
        <w:rPr>
          <w:rFonts w:hAnsi="宋体" w:cs="Times New Roman"/>
        </w:rPr>
        <w:t>）所得税费用，较上期</w:t>
      </w:r>
      <w:r w:rsidR="008E35DB">
        <w:rPr>
          <w:rFonts w:hAnsi="宋体" w:cs="Times New Roman" w:hint="eastAsia"/>
        </w:rPr>
        <w:t>减少</w:t>
      </w:r>
      <w:r w:rsidR="001206A3">
        <w:rPr>
          <w:rFonts w:hAnsi="宋体" w:cs="Times New Roman" w:hint="eastAsia"/>
        </w:rPr>
        <w:t>428</w:t>
      </w:r>
      <w:r>
        <w:rPr>
          <w:rFonts w:hAnsi="宋体" w:cs="Times New Roman"/>
        </w:rPr>
        <w:t>万元，</w:t>
      </w:r>
      <w:r w:rsidR="002764D6">
        <w:rPr>
          <w:rFonts w:hAnsi="宋体" w:cs="Times New Roman" w:hint="eastAsia"/>
        </w:rPr>
        <w:t>主要是报告期</w:t>
      </w:r>
      <w:bookmarkStart w:id="35" w:name="_Hlk224824405"/>
      <w:r w:rsidR="008E35DB">
        <w:rPr>
          <w:rFonts w:hAnsi="宋体" w:cs="Times New Roman" w:hint="eastAsia"/>
        </w:rPr>
        <w:t>利润总额下降</w:t>
      </w:r>
      <w:r w:rsidR="002764D6">
        <w:rPr>
          <w:rFonts w:hAnsi="宋体" w:cs="Times New Roman" w:hint="eastAsia"/>
        </w:rPr>
        <w:t>所致</w:t>
      </w:r>
      <w:bookmarkEnd w:id="35"/>
      <w:r w:rsidR="006858E8" w:rsidRPr="006858E8">
        <w:rPr>
          <w:rFonts w:hAnsi="宋体" w:cs="Times New Roman" w:hint="eastAsia"/>
        </w:rPr>
        <w:t>。</w:t>
      </w:r>
    </w:p>
    <w:p w14:paraId="5C28035F" w14:textId="1080B1C1" w:rsidR="003B35DC" w:rsidRDefault="00877547" w:rsidP="003A2116">
      <w:pPr>
        <w:pStyle w:val="Default"/>
        <w:spacing w:beforeLines="50" w:before="156" w:afterLines="50" w:after="156" w:line="420" w:lineRule="exact"/>
        <w:ind w:firstLine="420"/>
        <w:jc w:val="both"/>
        <w:rPr>
          <w:rFonts w:hAnsi="宋体" w:cs="Times New Roman" w:hint="eastAsia"/>
        </w:rPr>
      </w:pPr>
      <w:bookmarkStart w:id="36" w:name="_Toc414467255"/>
      <w:bookmarkStart w:id="37" w:name="_Toc383085206"/>
      <w:bookmarkStart w:id="38" w:name="_Toc383085102"/>
      <w:bookmarkStart w:id="39" w:name="_Toc383092300"/>
      <w:bookmarkStart w:id="40" w:name="_Toc383086134"/>
      <w:bookmarkStart w:id="41" w:name="_Toc383100577"/>
      <w:bookmarkStart w:id="42" w:name="_Toc383176478"/>
      <w:bookmarkStart w:id="43" w:name="_Toc383172891"/>
      <w:bookmarkEnd w:id="27"/>
      <w:bookmarkEnd w:id="28"/>
      <w:bookmarkEnd w:id="29"/>
      <w:bookmarkEnd w:id="30"/>
      <w:bookmarkEnd w:id="31"/>
      <w:bookmarkEnd w:id="32"/>
      <w:bookmarkEnd w:id="33"/>
      <w:bookmarkEnd w:id="34"/>
      <w:r>
        <w:rPr>
          <w:rFonts w:hAnsi="宋体" w:cs="Times New Roman"/>
        </w:rPr>
        <w:t>三、总体财务</w:t>
      </w:r>
      <w:bookmarkEnd w:id="36"/>
      <w:bookmarkEnd w:id="37"/>
      <w:bookmarkEnd w:id="38"/>
      <w:bookmarkEnd w:id="39"/>
      <w:bookmarkEnd w:id="40"/>
      <w:bookmarkEnd w:id="41"/>
      <w:bookmarkEnd w:id="42"/>
      <w:bookmarkEnd w:id="43"/>
      <w:r>
        <w:rPr>
          <w:rFonts w:hAnsi="宋体" w:cs="Times New Roman"/>
        </w:rPr>
        <w:t>指标</w:t>
      </w:r>
      <w:r w:rsidR="00E57619">
        <w:rPr>
          <w:rFonts w:hAnsi="宋体" w:cs="Times New Roman" w:hint="eastAsia"/>
        </w:rPr>
        <w:t>情况</w:t>
      </w:r>
    </w:p>
    <w:tbl>
      <w:tblPr>
        <w:tblW w:w="5082" w:type="pct"/>
        <w:tblLayout w:type="fixed"/>
        <w:tblLook w:val="04A0" w:firstRow="1" w:lastRow="0" w:firstColumn="1" w:lastColumn="0" w:noHBand="0" w:noVBand="1"/>
      </w:tblPr>
      <w:tblGrid>
        <w:gridCol w:w="1034"/>
        <w:gridCol w:w="2597"/>
        <w:gridCol w:w="1818"/>
        <w:gridCol w:w="1816"/>
        <w:gridCol w:w="1167"/>
      </w:tblGrid>
      <w:tr w:rsidR="003B35DC" w14:paraId="08A25450" w14:textId="77777777">
        <w:trPr>
          <w:trHeight w:val="270"/>
        </w:trPr>
        <w:tc>
          <w:tcPr>
            <w:tcW w:w="6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163FC9" w14:textId="77777777" w:rsidR="003B35DC" w:rsidRDefault="00877547" w:rsidP="003A2116">
            <w:pPr>
              <w:widowControl/>
              <w:rPr>
                <w:rFonts w:ascii="宋体" w:hAnsi="宋体" w:hint="eastAsia"/>
                <w:bCs/>
                <w:color w:val="000000"/>
                <w:kern w:val="0"/>
                <w:szCs w:val="21"/>
              </w:rPr>
            </w:pPr>
            <w:r>
              <w:rPr>
                <w:rFonts w:ascii="宋体" w:hAnsi="宋体"/>
                <w:bCs/>
                <w:color w:val="000000"/>
                <w:kern w:val="0"/>
                <w:szCs w:val="21"/>
              </w:rPr>
              <w:t>项目</w:t>
            </w:r>
          </w:p>
        </w:tc>
        <w:tc>
          <w:tcPr>
            <w:tcW w:w="1540"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E99C78E" w14:textId="77777777" w:rsidR="003B35DC" w:rsidRDefault="00877547" w:rsidP="003A2116">
            <w:pPr>
              <w:widowControl/>
              <w:rPr>
                <w:rFonts w:ascii="宋体" w:hAnsi="宋体" w:hint="eastAsia"/>
                <w:bCs/>
                <w:color w:val="000000"/>
                <w:kern w:val="0"/>
                <w:szCs w:val="21"/>
              </w:rPr>
            </w:pPr>
            <w:r>
              <w:rPr>
                <w:rFonts w:ascii="宋体" w:hAnsi="宋体"/>
                <w:bCs/>
                <w:color w:val="000000"/>
                <w:kern w:val="0"/>
                <w:szCs w:val="21"/>
              </w:rPr>
              <w:t>财务指标</w:t>
            </w:r>
          </w:p>
        </w:tc>
        <w:tc>
          <w:tcPr>
            <w:tcW w:w="1078"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C895BA5" w14:textId="2A5B7CC1" w:rsidR="003B35DC" w:rsidRDefault="006858E8" w:rsidP="0005144B">
            <w:pPr>
              <w:widowControl/>
              <w:rPr>
                <w:rFonts w:ascii="宋体" w:hAnsi="宋体" w:hint="eastAsia"/>
                <w:bCs/>
                <w:color w:val="000000"/>
                <w:kern w:val="0"/>
                <w:szCs w:val="21"/>
              </w:rPr>
            </w:pPr>
            <w:r>
              <w:rPr>
                <w:rFonts w:ascii="宋体" w:hAnsi="宋体"/>
                <w:bCs/>
                <w:color w:val="000000"/>
                <w:kern w:val="0"/>
                <w:szCs w:val="21"/>
              </w:rPr>
              <w:t>202</w:t>
            </w:r>
            <w:r w:rsidR="00C61C67">
              <w:rPr>
                <w:rFonts w:ascii="宋体" w:hAnsi="宋体" w:hint="eastAsia"/>
                <w:bCs/>
                <w:color w:val="000000"/>
                <w:kern w:val="0"/>
                <w:szCs w:val="21"/>
              </w:rPr>
              <w:t>5</w:t>
            </w:r>
            <w:r w:rsidR="00877547">
              <w:rPr>
                <w:rFonts w:ascii="宋体" w:hAnsi="宋体"/>
                <w:bCs/>
                <w:color w:val="000000"/>
                <w:kern w:val="0"/>
                <w:szCs w:val="21"/>
              </w:rPr>
              <w:t>年12月31日</w:t>
            </w:r>
          </w:p>
        </w:tc>
        <w:tc>
          <w:tcPr>
            <w:tcW w:w="1077"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0C8D803E" w14:textId="5C1EC951" w:rsidR="003B35DC" w:rsidRDefault="00877547" w:rsidP="0005144B">
            <w:pPr>
              <w:widowControl/>
              <w:rPr>
                <w:rFonts w:ascii="宋体" w:hAnsi="宋体" w:hint="eastAsia"/>
                <w:bCs/>
                <w:color w:val="000000"/>
                <w:kern w:val="0"/>
                <w:szCs w:val="21"/>
              </w:rPr>
            </w:pPr>
            <w:r>
              <w:rPr>
                <w:rFonts w:ascii="宋体" w:hAnsi="宋体"/>
                <w:bCs/>
                <w:color w:val="000000"/>
                <w:kern w:val="0"/>
                <w:szCs w:val="21"/>
              </w:rPr>
              <w:t>20</w:t>
            </w:r>
            <w:r w:rsidR="006858E8">
              <w:rPr>
                <w:rFonts w:ascii="宋体" w:hAnsi="宋体"/>
                <w:bCs/>
                <w:color w:val="000000"/>
                <w:kern w:val="0"/>
                <w:szCs w:val="21"/>
              </w:rPr>
              <w:t>2</w:t>
            </w:r>
            <w:r w:rsidR="00C61C67">
              <w:rPr>
                <w:rFonts w:ascii="宋体" w:hAnsi="宋体" w:hint="eastAsia"/>
                <w:bCs/>
                <w:color w:val="000000"/>
                <w:kern w:val="0"/>
                <w:szCs w:val="21"/>
              </w:rPr>
              <w:t>4</w:t>
            </w:r>
            <w:r>
              <w:rPr>
                <w:rFonts w:ascii="宋体" w:hAnsi="宋体"/>
                <w:bCs/>
                <w:color w:val="000000"/>
                <w:kern w:val="0"/>
                <w:szCs w:val="21"/>
              </w:rPr>
              <w:t>年12月31日</w:t>
            </w:r>
          </w:p>
        </w:tc>
        <w:tc>
          <w:tcPr>
            <w:tcW w:w="692"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B7D7FF3" w14:textId="77777777" w:rsidR="003B35DC" w:rsidRDefault="00877547" w:rsidP="003A2116">
            <w:pPr>
              <w:widowControl/>
              <w:rPr>
                <w:rFonts w:ascii="宋体" w:hAnsi="宋体" w:hint="eastAsia"/>
                <w:color w:val="000000"/>
                <w:kern w:val="0"/>
                <w:szCs w:val="21"/>
              </w:rPr>
            </w:pPr>
            <w:r>
              <w:rPr>
                <w:rFonts w:ascii="宋体" w:hAnsi="宋体"/>
                <w:color w:val="000000"/>
                <w:kern w:val="0"/>
                <w:szCs w:val="21"/>
              </w:rPr>
              <w:t>同比增减</w:t>
            </w:r>
          </w:p>
        </w:tc>
      </w:tr>
      <w:tr w:rsidR="001206A3" w14:paraId="44B51368" w14:textId="77777777" w:rsidTr="001206A3">
        <w:trPr>
          <w:trHeight w:val="270"/>
        </w:trPr>
        <w:tc>
          <w:tcPr>
            <w:tcW w:w="613" w:type="pct"/>
            <w:vMerge w:val="restart"/>
            <w:tcBorders>
              <w:top w:val="nil"/>
              <w:left w:val="single" w:sz="4" w:space="0" w:color="auto"/>
              <w:bottom w:val="single" w:sz="4" w:space="0" w:color="auto"/>
              <w:right w:val="single" w:sz="4" w:space="0" w:color="auto"/>
            </w:tcBorders>
            <w:vAlign w:val="center"/>
          </w:tcPr>
          <w:p w14:paraId="56893C08" w14:textId="77777777" w:rsidR="001206A3" w:rsidRDefault="001206A3" w:rsidP="001206A3">
            <w:pPr>
              <w:widowControl/>
              <w:rPr>
                <w:rFonts w:ascii="宋体" w:hAnsi="宋体" w:hint="eastAsia"/>
                <w:color w:val="000000"/>
                <w:kern w:val="0"/>
                <w:szCs w:val="21"/>
              </w:rPr>
            </w:pPr>
            <w:r>
              <w:rPr>
                <w:rFonts w:ascii="宋体" w:hAnsi="宋体"/>
                <w:color w:val="000000"/>
                <w:kern w:val="0"/>
                <w:szCs w:val="21"/>
              </w:rPr>
              <w:t>偿债能力指标</w:t>
            </w:r>
          </w:p>
        </w:tc>
        <w:tc>
          <w:tcPr>
            <w:tcW w:w="1540" w:type="pct"/>
            <w:tcBorders>
              <w:top w:val="nil"/>
              <w:left w:val="nil"/>
              <w:bottom w:val="single" w:sz="4" w:space="0" w:color="auto"/>
              <w:right w:val="single" w:sz="4" w:space="0" w:color="auto"/>
            </w:tcBorders>
            <w:vAlign w:val="center"/>
          </w:tcPr>
          <w:p w14:paraId="69D0D6DF" w14:textId="77777777" w:rsidR="001206A3" w:rsidRDefault="001206A3" w:rsidP="001206A3">
            <w:pPr>
              <w:widowControl/>
              <w:rPr>
                <w:rFonts w:ascii="宋体" w:hAnsi="宋体" w:hint="eastAsia"/>
                <w:color w:val="000000"/>
                <w:kern w:val="0"/>
                <w:szCs w:val="21"/>
              </w:rPr>
            </w:pPr>
            <w:r>
              <w:rPr>
                <w:rFonts w:ascii="宋体" w:hAnsi="宋体"/>
                <w:color w:val="000000"/>
                <w:kern w:val="0"/>
                <w:szCs w:val="21"/>
              </w:rPr>
              <w:t>流动比率</w:t>
            </w:r>
          </w:p>
        </w:tc>
        <w:tc>
          <w:tcPr>
            <w:tcW w:w="1078" w:type="pct"/>
            <w:tcBorders>
              <w:top w:val="nil"/>
              <w:left w:val="nil"/>
              <w:bottom w:val="single" w:sz="4" w:space="0" w:color="auto"/>
              <w:right w:val="single" w:sz="4" w:space="0" w:color="auto"/>
            </w:tcBorders>
            <w:noWrap/>
            <w:vAlign w:val="center"/>
          </w:tcPr>
          <w:p w14:paraId="0BD00C4C" w14:textId="7C9B83CE"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 xml:space="preserve"> 0.73 </w:t>
            </w:r>
          </w:p>
        </w:tc>
        <w:tc>
          <w:tcPr>
            <w:tcW w:w="1077" w:type="pct"/>
            <w:tcBorders>
              <w:top w:val="nil"/>
              <w:left w:val="nil"/>
              <w:bottom w:val="single" w:sz="4" w:space="0" w:color="auto"/>
              <w:right w:val="single" w:sz="4" w:space="0" w:color="auto"/>
            </w:tcBorders>
            <w:noWrap/>
            <w:vAlign w:val="center"/>
          </w:tcPr>
          <w:p w14:paraId="47746692" w14:textId="607EA8A7"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0.92</w:t>
            </w:r>
          </w:p>
        </w:tc>
        <w:tc>
          <w:tcPr>
            <w:tcW w:w="692" w:type="pct"/>
            <w:tcBorders>
              <w:top w:val="nil"/>
              <w:left w:val="nil"/>
              <w:bottom w:val="single" w:sz="4" w:space="0" w:color="auto"/>
              <w:right w:val="single" w:sz="4" w:space="0" w:color="auto"/>
            </w:tcBorders>
            <w:noWrap/>
            <w:vAlign w:val="center"/>
          </w:tcPr>
          <w:p w14:paraId="578FDA43" w14:textId="37FAEE1A"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 xml:space="preserve"> -0.19 </w:t>
            </w:r>
          </w:p>
        </w:tc>
      </w:tr>
      <w:tr w:rsidR="001206A3" w14:paraId="55B436EA" w14:textId="77777777" w:rsidTr="001206A3">
        <w:trPr>
          <w:trHeight w:val="270"/>
        </w:trPr>
        <w:tc>
          <w:tcPr>
            <w:tcW w:w="613" w:type="pct"/>
            <w:vMerge/>
            <w:tcBorders>
              <w:top w:val="nil"/>
              <w:left w:val="single" w:sz="4" w:space="0" w:color="auto"/>
              <w:bottom w:val="single" w:sz="4" w:space="0" w:color="auto"/>
              <w:right w:val="single" w:sz="4" w:space="0" w:color="auto"/>
            </w:tcBorders>
            <w:vAlign w:val="center"/>
          </w:tcPr>
          <w:p w14:paraId="71B6592A" w14:textId="77777777" w:rsidR="001206A3" w:rsidRDefault="001206A3" w:rsidP="001206A3">
            <w:pPr>
              <w:widowControl/>
              <w:rPr>
                <w:rFonts w:ascii="宋体" w:hAnsi="宋体" w:hint="eastAsia"/>
                <w:color w:val="000000"/>
                <w:kern w:val="0"/>
                <w:szCs w:val="21"/>
              </w:rPr>
            </w:pPr>
          </w:p>
        </w:tc>
        <w:tc>
          <w:tcPr>
            <w:tcW w:w="1540" w:type="pct"/>
            <w:tcBorders>
              <w:top w:val="nil"/>
              <w:left w:val="nil"/>
              <w:bottom w:val="single" w:sz="4" w:space="0" w:color="auto"/>
              <w:right w:val="single" w:sz="4" w:space="0" w:color="auto"/>
            </w:tcBorders>
            <w:vAlign w:val="center"/>
          </w:tcPr>
          <w:p w14:paraId="7B879F08" w14:textId="77777777" w:rsidR="001206A3" w:rsidRDefault="001206A3" w:rsidP="001206A3">
            <w:pPr>
              <w:widowControl/>
              <w:rPr>
                <w:rFonts w:ascii="宋体" w:hAnsi="宋体" w:hint="eastAsia"/>
                <w:color w:val="000000"/>
                <w:kern w:val="0"/>
                <w:szCs w:val="21"/>
              </w:rPr>
            </w:pPr>
            <w:r>
              <w:rPr>
                <w:rFonts w:ascii="宋体" w:hAnsi="宋体"/>
                <w:color w:val="000000"/>
                <w:kern w:val="0"/>
                <w:szCs w:val="21"/>
              </w:rPr>
              <w:t>速动比率</w:t>
            </w:r>
          </w:p>
        </w:tc>
        <w:tc>
          <w:tcPr>
            <w:tcW w:w="1078" w:type="pct"/>
            <w:tcBorders>
              <w:top w:val="nil"/>
              <w:left w:val="nil"/>
              <w:bottom w:val="single" w:sz="4" w:space="0" w:color="auto"/>
              <w:right w:val="single" w:sz="4" w:space="0" w:color="auto"/>
            </w:tcBorders>
            <w:noWrap/>
            <w:vAlign w:val="center"/>
          </w:tcPr>
          <w:p w14:paraId="1CED0300" w14:textId="32E912B6"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 xml:space="preserve"> 0.58 </w:t>
            </w:r>
          </w:p>
        </w:tc>
        <w:tc>
          <w:tcPr>
            <w:tcW w:w="1077" w:type="pct"/>
            <w:tcBorders>
              <w:top w:val="nil"/>
              <w:left w:val="nil"/>
              <w:bottom w:val="single" w:sz="4" w:space="0" w:color="auto"/>
              <w:right w:val="single" w:sz="4" w:space="0" w:color="auto"/>
            </w:tcBorders>
            <w:noWrap/>
            <w:vAlign w:val="center"/>
          </w:tcPr>
          <w:p w14:paraId="4B98CBAD" w14:textId="65F5B5B1"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0.72</w:t>
            </w:r>
          </w:p>
        </w:tc>
        <w:tc>
          <w:tcPr>
            <w:tcW w:w="692" w:type="pct"/>
            <w:tcBorders>
              <w:top w:val="nil"/>
              <w:left w:val="nil"/>
              <w:bottom w:val="single" w:sz="4" w:space="0" w:color="auto"/>
              <w:right w:val="single" w:sz="4" w:space="0" w:color="auto"/>
            </w:tcBorders>
            <w:noWrap/>
            <w:vAlign w:val="center"/>
          </w:tcPr>
          <w:p w14:paraId="3FCA79EC" w14:textId="53E688D0"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 xml:space="preserve"> -0.14 </w:t>
            </w:r>
          </w:p>
        </w:tc>
      </w:tr>
      <w:tr w:rsidR="001206A3" w14:paraId="177DB81F" w14:textId="77777777" w:rsidTr="001206A3">
        <w:trPr>
          <w:trHeight w:val="270"/>
        </w:trPr>
        <w:tc>
          <w:tcPr>
            <w:tcW w:w="613" w:type="pct"/>
            <w:vMerge/>
            <w:tcBorders>
              <w:top w:val="nil"/>
              <w:left w:val="single" w:sz="4" w:space="0" w:color="auto"/>
              <w:bottom w:val="single" w:sz="4" w:space="0" w:color="auto"/>
              <w:right w:val="single" w:sz="4" w:space="0" w:color="auto"/>
            </w:tcBorders>
            <w:vAlign w:val="center"/>
          </w:tcPr>
          <w:p w14:paraId="7DAB8339" w14:textId="77777777" w:rsidR="001206A3" w:rsidRDefault="001206A3" w:rsidP="001206A3">
            <w:pPr>
              <w:widowControl/>
              <w:rPr>
                <w:rFonts w:ascii="宋体" w:hAnsi="宋体" w:hint="eastAsia"/>
                <w:color w:val="000000"/>
                <w:kern w:val="0"/>
                <w:szCs w:val="21"/>
              </w:rPr>
            </w:pPr>
          </w:p>
        </w:tc>
        <w:tc>
          <w:tcPr>
            <w:tcW w:w="1540" w:type="pct"/>
            <w:tcBorders>
              <w:top w:val="nil"/>
              <w:left w:val="nil"/>
              <w:bottom w:val="single" w:sz="4" w:space="0" w:color="auto"/>
              <w:right w:val="single" w:sz="4" w:space="0" w:color="auto"/>
            </w:tcBorders>
            <w:vAlign w:val="center"/>
          </w:tcPr>
          <w:p w14:paraId="37D62834" w14:textId="77777777" w:rsidR="001206A3" w:rsidRDefault="001206A3" w:rsidP="001206A3">
            <w:pPr>
              <w:widowControl/>
              <w:rPr>
                <w:rFonts w:ascii="宋体" w:hAnsi="宋体" w:hint="eastAsia"/>
                <w:color w:val="000000"/>
                <w:kern w:val="0"/>
                <w:szCs w:val="21"/>
              </w:rPr>
            </w:pPr>
            <w:r>
              <w:rPr>
                <w:rFonts w:ascii="宋体" w:hAnsi="宋体"/>
                <w:color w:val="000000"/>
                <w:kern w:val="0"/>
                <w:szCs w:val="21"/>
              </w:rPr>
              <w:t>资产负债率</w:t>
            </w:r>
          </w:p>
        </w:tc>
        <w:tc>
          <w:tcPr>
            <w:tcW w:w="1078" w:type="pct"/>
            <w:tcBorders>
              <w:top w:val="nil"/>
              <w:left w:val="nil"/>
              <w:bottom w:val="single" w:sz="4" w:space="0" w:color="auto"/>
              <w:right w:val="single" w:sz="4" w:space="0" w:color="auto"/>
            </w:tcBorders>
            <w:noWrap/>
            <w:vAlign w:val="center"/>
          </w:tcPr>
          <w:p w14:paraId="2DD12E88" w14:textId="0F1E04A0"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71.52%</w:t>
            </w:r>
          </w:p>
        </w:tc>
        <w:tc>
          <w:tcPr>
            <w:tcW w:w="1077" w:type="pct"/>
            <w:tcBorders>
              <w:top w:val="nil"/>
              <w:left w:val="nil"/>
              <w:bottom w:val="single" w:sz="4" w:space="0" w:color="auto"/>
              <w:right w:val="single" w:sz="4" w:space="0" w:color="auto"/>
            </w:tcBorders>
            <w:noWrap/>
            <w:vAlign w:val="center"/>
          </w:tcPr>
          <w:p w14:paraId="4CF2D080" w14:textId="6D8FD845"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63.20%</w:t>
            </w:r>
          </w:p>
        </w:tc>
        <w:tc>
          <w:tcPr>
            <w:tcW w:w="692" w:type="pct"/>
            <w:tcBorders>
              <w:top w:val="nil"/>
              <w:left w:val="nil"/>
              <w:bottom w:val="single" w:sz="4" w:space="0" w:color="auto"/>
              <w:right w:val="single" w:sz="4" w:space="0" w:color="auto"/>
            </w:tcBorders>
            <w:noWrap/>
            <w:vAlign w:val="center"/>
          </w:tcPr>
          <w:p w14:paraId="1A35A814" w14:textId="466943E7"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8.32%</w:t>
            </w:r>
          </w:p>
        </w:tc>
      </w:tr>
      <w:tr w:rsidR="003B35DC" w14:paraId="37B45F66" w14:textId="77777777">
        <w:trPr>
          <w:trHeight w:val="270"/>
        </w:trPr>
        <w:tc>
          <w:tcPr>
            <w:tcW w:w="613" w:type="pct"/>
            <w:tcBorders>
              <w:top w:val="nil"/>
              <w:left w:val="single" w:sz="4" w:space="0" w:color="auto"/>
              <w:bottom w:val="single" w:sz="4" w:space="0" w:color="auto"/>
              <w:right w:val="single" w:sz="4" w:space="0" w:color="auto"/>
            </w:tcBorders>
            <w:shd w:val="clear" w:color="auto" w:fill="D9D9D9" w:themeFill="background1" w:themeFillShade="D9"/>
            <w:vAlign w:val="center"/>
          </w:tcPr>
          <w:p w14:paraId="4D0D4139" w14:textId="77777777" w:rsidR="003B35DC" w:rsidRDefault="00877547" w:rsidP="003A2116">
            <w:pPr>
              <w:widowControl/>
              <w:rPr>
                <w:rFonts w:ascii="宋体" w:hAnsi="宋体" w:hint="eastAsia"/>
                <w:bCs/>
                <w:color w:val="000000"/>
                <w:kern w:val="0"/>
                <w:szCs w:val="21"/>
              </w:rPr>
            </w:pPr>
            <w:r>
              <w:rPr>
                <w:rFonts w:ascii="宋体" w:hAnsi="宋体"/>
                <w:bCs/>
                <w:color w:val="000000"/>
                <w:kern w:val="0"/>
                <w:szCs w:val="21"/>
              </w:rPr>
              <w:t>项目</w:t>
            </w:r>
          </w:p>
        </w:tc>
        <w:tc>
          <w:tcPr>
            <w:tcW w:w="1540" w:type="pct"/>
            <w:tcBorders>
              <w:top w:val="nil"/>
              <w:left w:val="nil"/>
              <w:bottom w:val="single" w:sz="4" w:space="0" w:color="auto"/>
              <w:right w:val="single" w:sz="4" w:space="0" w:color="auto"/>
            </w:tcBorders>
            <w:shd w:val="clear" w:color="auto" w:fill="D9D9D9" w:themeFill="background1" w:themeFillShade="D9"/>
            <w:vAlign w:val="center"/>
          </w:tcPr>
          <w:p w14:paraId="108BF7E2" w14:textId="77777777" w:rsidR="003B35DC" w:rsidRDefault="00877547" w:rsidP="003A2116">
            <w:pPr>
              <w:widowControl/>
              <w:rPr>
                <w:rFonts w:ascii="宋体" w:hAnsi="宋体" w:hint="eastAsia"/>
                <w:bCs/>
                <w:color w:val="000000"/>
                <w:kern w:val="0"/>
                <w:szCs w:val="21"/>
              </w:rPr>
            </w:pPr>
            <w:r>
              <w:rPr>
                <w:rFonts w:ascii="宋体" w:hAnsi="宋体"/>
                <w:bCs/>
                <w:color w:val="000000"/>
                <w:kern w:val="0"/>
                <w:szCs w:val="21"/>
              </w:rPr>
              <w:t>财务指标</w:t>
            </w:r>
          </w:p>
        </w:tc>
        <w:tc>
          <w:tcPr>
            <w:tcW w:w="1078" w:type="pct"/>
            <w:tcBorders>
              <w:top w:val="nil"/>
              <w:left w:val="nil"/>
              <w:bottom w:val="single" w:sz="4" w:space="0" w:color="auto"/>
              <w:right w:val="single" w:sz="4" w:space="0" w:color="auto"/>
            </w:tcBorders>
            <w:shd w:val="clear" w:color="auto" w:fill="D9D9D9" w:themeFill="background1" w:themeFillShade="D9"/>
            <w:vAlign w:val="center"/>
          </w:tcPr>
          <w:p w14:paraId="64B15A36" w14:textId="21AF3F69" w:rsidR="003B35DC" w:rsidRDefault="00877547" w:rsidP="0005144B">
            <w:pPr>
              <w:widowControl/>
              <w:rPr>
                <w:rFonts w:ascii="宋体" w:hAnsi="宋体" w:hint="eastAsia"/>
                <w:bCs/>
                <w:color w:val="000000"/>
                <w:kern w:val="0"/>
                <w:szCs w:val="21"/>
              </w:rPr>
            </w:pPr>
            <w:r>
              <w:rPr>
                <w:rFonts w:ascii="宋体" w:hAnsi="宋体"/>
                <w:bCs/>
                <w:color w:val="000000"/>
                <w:kern w:val="0"/>
                <w:szCs w:val="21"/>
              </w:rPr>
              <w:t>202</w:t>
            </w:r>
            <w:r w:rsidR="00C61C67">
              <w:rPr>
                <w:rFonts w:ascii="宋体" w:hAnsi="宋体" w:hint="eastAsia"/>
                <w:bCs/>
                <w:color w:val="000000"/>
                <w:kern w:val="0"/>
                <w:szCs w:val="21"/>
              </w:rPr>
              <w:t>5</w:t>
            </w:r>
            <w:r>
              <w:rPr>
                <w:rFonts w:ascii="宋体" w:hAnsi="宋体"/>
                <w:bCs/>
                <w:color w:val="000000"/>
                <w:kern w:val="0"/>
                <w:szCs w:val="21"/>
              </w:rPr>
              <w:t>年1-12月</w:t>
            </w:r>
          </w:p>
        </w:tc>
        <w:tc>
          <w:tcPr>
            <w:tcW w:w="1077" w:type="pct"/>
            <w:tcBorders>
              <w:top w:val="nil"/>
              <w:left w:val="nil"/>
              <w:bottom w:val="single" w:sz="4" w:space="0" w:color="auto"/>
              <w:right w:val="single" w:sz="4" w:space="0" w:color="auto"/>
            </w:tcBorders>
            <w:shd w:val="clear" w:color="auto" w:fill="D9D9D9" w:themeFill="background1" w:themeFillShade="D9"/>
            <w:vAlign w:val="center"/>
          </w:tcPr>
          <w:p w14:paraId="02DEC3E7" w14:textId="040298EF" w:rsidR="003B35DC" w:rsidRDefault="00877547" w:rsidP="0005144B">
            <w:pPr>
              <w:widowControl/>
              <w:rPr>
                <w:rFonts w:ascii="宋体" w:hAnsi="宋体" w:hint="eastAsia"/>
                <w:bCs/>
                <w:color w:val="000000"/>
                <w:kern w:val="0"/>
                <w:szCs w:val="21"/>
              </w:rPr>
            </w:pPr>
            <w:r>
              <w:rPr>
                <w:rFonts w:ascii="宋体" w:hAnsi="宋体"/>
                <w:bCs/>
                <w:color w:val="000000"/>
                <w:kern w:val="0"/>
                <w:szCs w:val="21"/>
              </w:rPr>
              <w:t>20</w:t>
            </w:r>
            <w:r w:rsidR="00E57619">
              <w:rPr>
                <w:rFonts w:ascii="宋体" w:hAnsi="宋体"/>
                <w:bCs/>
                <w:color w:val="000000"/>
                <w:kern w:val="0"/>
                <w:szCs w:val="21"/>
              </w:rPr>
              <w:t>2</w:t>
            </w:r>
            <w:r w:rsidR="00C61C67">
              <w:rPr>
                <w:rFonts w:ascii="宋体" w:hAnsi="宋体" w:hint="eastAsia"/>
                <w:bCs/>
                <w:color w:val="000000"/>
                <w:kern w:val="0"/>
                <w:szCs w:val="21"/>
              </w:rPr>
              <w:t>4</w:t>
            </w:r>
            <w:r>
              <w:rPr>
                <w:rFonts w:ascii="宋体" w:hAnsi="宋体"/>
                <w:bCs/>
                <w:color w:val="000000"/>
                <w:kern w:val="0"/>
                <w:szCs w:val="21"/>
              </w:rPr>
              <w:t>年1-12月</w:t>
            </w:r>
          </w:p>
        </w:tc>
        <w:tc>
          <w:tcPr>
            <w:tcW w:w="692" w:type="pct"/>
            <w:tcBorders>
              <w:top w:val="nil"/>
              <w:left w:val="nil"/>
              <w:bottom w:val="single" w:sz="4" w:space="0" w:color="auto"/>
              <w:right w:val="single" w:sz="4" w:space="0" w:color="auto"/>
            </w:tcBorders>
            <w:shd w:val="clear" w:color="auto" w:fill="D9D9D9" w:themeFill="background1" w:themeFillShade="D9"/>
            <w:noWrap/>
            <w:vAlign w:val="center"/>
          </w:tcPr>
          <w:p w14:paraId="370E392E" w14:textId="77777777" w:rsidR="003B35DC" w:rsidRDefault="00877547" w:rsidP="003A2116">
            <w:pPr>
              <w:widowControl/>
              <w:rPr>
                <w:rFonts w:ascii="宋体" w:hAnsi="宋体" w:hint="eastAsia"/>
                <w:color w:val="000000"/>
                <w:kern w:val="0"/>
                <w:szCs w:val="21"/>
              </w:rPr>
            </w:pPr>
            <w:r>
              <w:rPr>
                <w:rFonts w:ascii="宋体" w:hAnsi="宋体"/>
                <w:color w:val="000000"/>
                <w:kern w:val="0"/>
                <w:szCs w:val="21"/>
              </w:rPr>
              <w:t xml:space="preserve">　同比增减</w:t>
            </w:r>
          </w:p>
        </w:tc>
      </w:tr>
      <w:tr w:rsidR="001206A3" w14:paraId="1C6A33BF" w14:textId="77777777" w:rsidTr="001206A3">
        <w:trPr>
          <w:trHeight w:val="270"/>
        </w:trPr>
        <w:tc>
          <w:tcPr>
            <w:tcW w:w="613" w:type="pct"/>
            <w:vMerge w:val="restart"/>
            <w:tcBorders>
              <w:top w:val="nil"/>
              <w:left w:val="single" w:sz="4" w:space="0" w:color="auto"/>
              <w:bottom w:val="single" w:sz="4" w:space="0" w:color="auto"/>
              <w:right w:val="single" w:sz="4" w:space="0" w:color="auto"/>
            </w:tcBorders>
            <w:vAlign w:val="center"/>
          </w:tcPr>
          <w:p w14:paraId="1DBC93B0" w14:textId="77777777" w:rsidR="001206A3" w:rsidRDefault="001206A3" w:rsidP="001206A3">
            <w:pPr>
              <w:widowControl/>
              <w:rPr>
                <w:rFonts w:ascii="宋体" w:hAnsi="宋体" w:hint="eastAsia"/>
                <w:color w:val="000000"/>
                <w:kern w:val="0"/>
                <w:szCs w:val="21"/>
              </w:rPr>
            </w:pPr>
            <w:r>
              <w:rPr>
                <w:rFonts w:ascii="宋体" w:hAnsi="宋体"/>
                <w:color w:val="000000"/>
                <w:kern w:val="0"/>
                <w:szCs w:val="21"/>
              </w:rPr>
              <w:t>资产管理指标</w:t>
            </w:r>
          </w:p>
        </w:tc>
        <w:tc>
          <w:tcPr>
            <w:tcW w:w="1540" w:type="pct"/>
            <w:tcBorders>
              <w:top w:val="nil"/>
              <w:left w:val="nil"/>
              <w:bottom w:val="single" w:sz="4" w:space="0" w:color="auto"/>
              <w:right w:val="single" w:sz="4" w:space="0" w:color="auto"/>
            </w:tcBorders>
            <w:vAlign w:val="center"/>
          </w:tcPr>
          <w:p w14:paraId="667A934A" w14:textId="77777777" w:rsidR="001206A3" w:rsidRDefault="001206A3" w:rsidP="001206A3">
            <w:pPr>
              <w:widowControl/>
              <w:rPr>
                <w:rFonts w:ascii="宋体" w:hAnsi="宋体" w:hint="eastAsia"/>
                <w:color w:val="000000"/>
                <w:kern w:val="0"/>
                <w:szCs w:val="21"/>
              </w:rPr>
            </w:pPr>
            <w:r>
              <w:rPr>
                <w:rFonts w:ascii="宋体" w:hAnsi="宋体"/>
                <w:color w:val="000000"/>
                <w:kern w:val="0"/>
                <w:szCs w:val="21"/>
              </w:rPr>
              <w:t>应收账款周转天数</w:t>
            </w:r>
          </w:p>
        </w:tc>
        <w:tc>
          <w:tcPr>
            <w:tcW w:w="1078" w:type="pct"/>
            <w:tcBorders>
              <w:top w:val="nil"/>
              <w:left w:val="nil"/>
              <w:bottom w:val="single" w:sz="4" w:space="0" w:color="auto"/>
              <w:right w:val="single" w:sz="4" w:space="0" w:color="auto"/>
            </w:tcBorders>
            <w:noWrap/>
            <w:vAlign w:val="center"/>
          </w:tcPr>
          <w:p w14:paraId="07715B3F" w14:textId="27F229BF"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 xml:space="preserve"> 93 </w:t>
            </w:r>
          </w:p>
        </w:tc>
        <w:tc>
          <w:tcPr>
            <w:tcW w:w="1077" w:type="pct"/>
            <w:tcBorders>
              <w:top w:val="nil"/>
              <w:left w:val="nil"/>
              <w:bottom w:val="single" w:sz="4" w:space="0" w:color="auto"/>
              <w:right w:val="single" w:sz="4" w:space="0" w:color="auto"/>
            </w:tcBorders>
            <w:noWrap/>
            <w:vAlign w:val="center"/>
          </w:tcPr>
          <w:p w14:paraId="22C63FCD" w14:textId="5A30CF05"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107</w:t>
            </w:r>
          </w:p>
        </w:tc>
        <w:tc>
          <w:tcPr>
            <w:tcW w:w="692" w:type="pct"/>
            <w:tcBorders>
              <w:top w:val="nil"/>
              <w:left w:val="nil"/>
              <w:bottom w:val="single" w:sz="4" w:space="0" w:color="auto"/>
              <w:right w:val="single" w:sz="4" w:space="0" w:color="auto"/>
            </w:tcBorders>
            <w:noWrap/>
            <w:vAlign w:val="center"/>
          </w:tcPr>
          <w:p w14:paraId="2A8A72FE" w14:textId="4275A6B7"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-14</w:t>
            </w:r>
          </w:p>
        </w:tc>
      </w:tr>
      <w:tr w:rsidR="001206A3" w14:paraId="72998C59" w14:textId="77777777" w:rsidTr="001206A3">
        <w:trPr>
          <w:trHeight w:val="270"/>
        </w:trPr>
        <w:tc>
          <w:tcPr>
            <w:tcW w:w="613" w:type="pct"/>
            <w:vMerge/>
            <w:tcBorders>
              <w:top w:val="nil"/>
              <w:left w:val="single" w:sz="4" w:space="0" w:color="auto"/>
              <w:bottom w:val="single" w:sz="4" w:space="0" w:color="auto"/>
              <w:right w:val="single" w:sz="4" w:space="0" w:color="auto"/>
            </w:tcBorders>
            <w:vAlign w:val="center"/>
          </w:tcPr>
          <w:p w14:paraId="314FE614" w14:textId="77777777" w:rsidR="001206A3" w:rsidRDefault="001206A3" w:rsidP="001206A3">
            <w:pPr>
              <w:widowControl/>
              <w:rPr>
                <w:rFonts w:ascii="宋体" w:hAnsi="宋体" w:hint="eastAsia"/>
                <w:color w:val="000000"/>
                <w:kern w:val="0"/>
                <w:szCs w:val="21"/>
              </w:rPr>
            </w:pPr>
          </w:p>
        </w:tc>
        <w:tc>
          <w:tcPr>
            <w:tcW w:w="1540" w:type="pct"/>
            <w:tcBorders>
              <w:top w:val="nil"/>
              <w:left w:val="nil"/>
              <w:bottom w:val="single" w:sz="4" w:space="0" w:color="auto"/>
              <w:right w:val="single" w:sz="4" w:space="0" w:color="auto"/>
            </w:tcBorders>
            <w:vAlign w:val="center"/>
          </w:tcPr>
          <w:p w14:paraId="613A4FE0" w14:textId="77777777" w:rsidR="001206A3" w:rsidRDefault="001206A3" w:rsidP="001206A3">
            <w:pPr>
              <w:widowControl/>
              <w:rPr>
                <w:rFonts w:ascii="宋体" w:hAnsi="宋体" w:hint="eastAsia"/>
                <w:color w:val="000000"/>
                <w:kern w:val="0"/>
                <w:szCs w:val="21"/>
              </w:rPr>
            </w:pPr>
            <w:r>
              <w:rPr>
                <w:rFonts w:ascii="宋体" w:hAnsi="宋体"/>
                <w:color w:val="000000"/>
                <w:kern w:val="0"/>
                <w:szCs w:val="21"/>
              </w:rPr>
              <w:t>存货周转天数</w:t>
            </w:r>
          </w:p>
        </w:tc>
        <w:tc>
          <w:tcPr>
            <w:tcW w:w="1078" w:type="pct"/>
            <w:tcBorders>
              <w:top w:val="nil"/>
              <w:left w:val="nil"/>
              <w:bottom w:val="single" w:sz="4" w:space="0" w:color="auto"/>
              <w:right w:val="single" w:sz="4" w:space="0" w:color="auto"/>
            </w:tcBorders>
            <w:noWrap/>
            <w:vAlign w:val="center"/>
          </w:tcPr>
          <w:p w14:paraId="15173093" w14:textId="55EC6C64"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 xml:space="preserve"> 75 </w:t>
            </w:r>
          </w:p>
        </w:tc>
        <w:tc>
          <w:tcPr>
            <w:tcW w:w="1077" w:type="pct"/>
            <w:tcBorders>
              <w:top w:val="nil"/>
              <w:left w:val="nil"/>
              <w:bottom w:val="single" w:sz="4" w:space="0" w:color="auto"/>
              <w:right w:val="single" w:sz="4" w:space="0" w:color="auto"/>
            </w:tcBorders>
            <w:noWrap/>
            <w:vAlign w:val="center"/>
          </w:tcPr>
          <w:p w14:paraId="35AF35F8" w14:textId="3083DCED"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87</w:t>
            </w:r>
          </w:p>
        </w:tc>
        <w:tc>
          <w:tcPr>
            <w:tcW w:w="692" w:type="pct"/>
            <w:tcBorders>
              <w:top w:val="nil"/>
              <w:left w:val="nil"/>
              <w:bottom w:val="single" w:sz="4" w:space="0" w:color="auto"/>
              <w:right w:val="single" w:sz="4" w:space="0" w:color="auto"/>
            </w:tcBorders>
            <w:noWrap/>
            <w:vAlign w:val="center"/>
          </w:tcPr>
          <w:p w14:paraId="1DB63846" w14:textId="3D705A46"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-12</w:t>
            </w:r>
          </w:p>
        </w:tc>
      </w:tr>
      <w:tr w:rsidR="001206A3" w14:paraId="3A506E02" w14:textId="77777777" w:rsidTr="001206A3">
        <w:trPr>
          <w:trHeight w:val="270"/>
        </w:trPr>
        <w:tc>
          <w:tcPr>
            <w:tcW w:w="613" w:type="pct"/>
            <w:vMerge/>
            <w:tcBorders>
              <w:top w:val="nil"/>
              <w:left w:val="single" w:sz="4" w:space="0" w:color="auto"/>
              <w:bottom w:val="single" w:sz="4" w:space="0" w:color="auto"/>
              <w:right w:val="single" w:sz="4" w:space="0" w:color="auto"/>
            </w:tcBorders>
            <w:vAlign w:val="center"/>
          </w:tcPr>
          <w:p w14:paraId="07AA3802" w14:textId="77777777" w:rsidR="001206A3" w:rsidRDefault="001206A3" w:rsidP="001206A3">
            <w:pPr>
              <w:widowControl/>
              <w:rPr>
                <w:rFonts w:ascii="宋体" w:hAnsi="宋体" w:hint="eastAsia"/>
                <w:color w:val="000000"/>
                <w:kern w:val="0"/>
                <w:szCs w:val="21"/>
              </w:rPr>
            </w:pPr>
          </w:p>
        </w:tc>
        <w:tc>
          <w:tcPr>
            <w:tcW w:w="1540" w:type="pct"/>
            <w:tcBorders>
              <w:top w:val="nil"/>
              <w:left w:val="nil"/>
              <w:bottom w:val="single" w:sz="4" w:space="0" w:color="auto"/>
              <w:right w:val="single" w:sz="4" w:space="0" w:color="auto"/>
            </w:tcBorders>
            <w:vAlign w:val="center"/>
          </w:tcPr>
          <w:p w14:paraId="28335A01" w14:textId="77777777" w:rsidR="001206A3" w:rsidRDefault="001206A3" w:rsidP="001206A3">
            <w:pPr>
              <w:widowControl/>
              <w:rPr>
                <w:rFonts w:ascii="宋体" w:hAnsi="宋体" w:hint="eastAsia"/>
                <w:color w:val="000000"/>
                <w:kern w:val="0"/>
                <w:szCs w:val="21"/>
              </w:rPr>
            </w:pPr>
            <w:r>
              <w:rPr>
                <w:rFonts w:ascii="宋体" w:hAnsi="宋体"/>
                <w:color w:val="000000"/>
                <w:kern w:val="0"/>
                <w:szCs w:val="21"/>
              </w:rPr>
              <w:t>总资产周转天数</w:t>
            </w:r>
          </w:p>
        </w:tc>
        <w:tc>
          <w:tcPr>
            <w:tcW w:w="1078" w:type="pct"/>
            <w:tcBorders>
              <w:top w:val="nil"/>
              <w:left w:val="nil"/>
              <w:bottom w:val="single" w:sz="4" w:space="0" w:color="auto"/>
              <w:right w:val="single" w:sz="4" w:space="0" w:color="auto"/>
            </w:tcBorders>
            <w:noWrap/>
            <w:vAlign w:val="center"/>
          </w:tcPr>
          <w:p w14:paraId="55109175" w14:textId="40DF19D3"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 xml:space="preserve"> 1,165 </w:t>
            </w:r>
          </w:p>
        </w:tc>
        <w:tc>
          <w:tcPr>
            <w:tcW w:w="1077" w:type="pct"/>
            <w:tcBorders>
              <w:top w:val="nil"/>
              <w:left w:val="nil"/>
              <w:bottom w:val="single" w:sz="4" w:space="0" w:color="auto"/>
              <w:right w:val="single" w:sz="4" w:space="0" w:color="auto"/>
            </w:tcBorders>
            <w:noWrap/>
            <w:vAlign w:val="center"/>
          </w:tcPr>
          <w:p w14:paraId="77A91F13" w14:textId="5C86912C"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1,227</w:t>
            </w:r>
          </w:p>
        </w:tc>
        <w:tc>
          <w:tcPr>
            <w:tcW w:w="692" w:type="pct"/>
            <w:tcBorders>
              <w:top w:val="nil"/>
              <w:left w:val="nil"/>
              <w:bottom w:val="single" w:sz="4" w:space="0" w:color="auto"/>
              <w:right w:val="single" w:sz="4" w:space="0" w:color="auto"/>
            </w:tcBorders>
            <w:noWrap/>
            <w:vAlign w:val="center"/>
          </w:tcPr>
          <w:p w14:paraId="2E1A197C" w14:textId="0491757B"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-62</w:t>
            </w:r>
          </w:p>
        </w:tc>
      </w:tr>
      <w:tr w:rsidR="001206A3" w14:paraId="4E1F0C2F" w14:textId="77777777" w:rsidTr="001206A3">
        <w:trPr>
          <w:trHeight w:val="270"/>
        </w:trPr>
        <w:tc>
          <w:tcPr>
            <w:tcW w:w="613" w:type="pct"/>
            <w:vMerge w:val="restart"/>
            <w:tcBorders>
              <w:top w:val="nil"/>
              <w:left w:val="single" w:sz="4" w:space="0" w:color="auto"/>
              <w:right w:val="single" w:sz="4" w:space="0" w:color="auto"/>
            </w:tcBorders>
            <w:vAlign w:val="center"/>
          </w:tcPr>
          <w:p w14:paraId="3A9912E7" w14:textId="77777777" w:rsidR="001206A3" w:rsidRDefault="001206A3" w:rsidP="001206A3">
            <w:pPr>
              <w:widowControl/>
              <w:rPr>
                <w:rFonts w:ascii="宋体" w:hAnsi="宋体" w:hint="eastAsia"/>
                <w:color w:val="000000"/>
                <w:kern w:val="0"/>
                <w:szCs w:val="21"/>
              </w:rPr>
            </w:pPr>
            <w:r>
              <w:rPr>
                <w:rFonts w:ascii="宋体" w:hAnsi="宋体"/>
                <w:color w:val="000000"/>
                <w:kern w:val="0"/>
                <w:szCs w:val="21"/>
              </w:rPr>
              <w:t>盈利能力指标</w:t>
            </w:r>
          </w:p>
        </w:tc>
        <w:tc>
          <w:tcPr>
            <w:tcW w:w="1540" w:type="pct"/>
            <w:tcBorders>
              <w:top w:val="nil"/>
              <w:left w:val="nil"/>
              <w:bottom w:val="single" w:sz="4" w:space="0" w:color="auto"/>
              <w:right w:val="single" w:sz="4" w:space="0" w:color="auto"/>
            </w:tcBorders>
            <w:vAlign w:val="center"/>
          </w:tcPr>
          <w:p w14:paraId="1D76E908" w14:textId="77777777" w:rsidR="001206A3" w:rsidRDefault="001206A3" w:rsidP="001206A3">
            <w:pPr>
              <w:widowControl/>
              <w:rPr>
                <w:rFonts w:ascii="宋体" w:hAnsi="宋体" w:hint="eastAsia"/>
                <w:color w:val="000000"/>
                <w:kern w:val="0"/>
                <w:szCs w:val="21"/>
              </w:rPr>
            </w:pPr>
            <w:r>
              <w:rPr>
                <w:rFonts w:ascii="宋体" w:hAnsi="宋体"/>
                <w:color w:val="000000"/>
                <w:kern w:val="0"/>
                <w:szCs w:val="21"/>
              </w:rPr>
              <w:t>总资产净利率</w:t>
            </w:r>
          </w:p>
        </w:tc>
        <w:tc>
          <w:tcPr>
            <w:tcW w:w="1078" w:type="pct"/>
            <w:tcBorders>
              <w:top w:val="nil"/>
              <w:left w:val="nil"/>
              <w:bottom w:val="single" w:sz="4" w:space="0" w:color="auto"/>
              <w:right w:val="single" w:sz="4" w:space="0" w:color="auto"/>
            </w:tcBorders>
            <w:noWrap/>
            <w:vAlign w:val="center"/>
          </w:tcPr>
          <w:p w14:paraId="75D6ABD3" w14:textId="574F4139"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-12.68%</w:t>
            </w:r>
          </w:p>
        </w:tc>
        <w:tc>
          <w:tcPr>
            <w:tcW w:w="1077" w:type="pct"/>
            <w:tcBorders>
              <w:top w:val="nil"/>
              <w:left w:val="nil"/>
              <w:bottom w:val="single" w:sz="4" w:space="0" w:color="auto"/>
              <w:right w:val="single" w:sz="4" w:space="0" w:color="auto"/>
            </w:tcBorders>
            <w:noWrap/>
            <w:vAlign w:val="center"/>
          </w:tcPr>
          <w:p w14:paraId="478AA846" w14:textId="2FC7D495"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-7.57%</w:t>
            </w:r>
          </w:p>
        </w:tc>
        <w:tc>
          <w:tcPr>
            <w:tcW w:w="692" w:type="pct"/>
            <w:tcBorders>
              <w:top w:val="nil"/>
              <w:left w:val="nil"/>
              <w:bottom w:val="single" w:sz="4" w:space="0" w:color="auto"/>
              <w:right w:val="single" w:sz="4" w:space="0" w:color="auto"/>
            </w:tcBorders>
            <w:noWrap/>
            <w:vAlign w:val="center"/>
          </w:tcPr>
          <w:p w14:paraId="2D66718D" w14:textId="64AF642E"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-5.11%</w:t>
            </w:r>
          </w:p>
        </w:tc>
      </w:tr>
      <w:tr w:rsidR="001206A3" w14:paraId="652D1A4D" w14:textId="77777777" w:rsidTr="001206A3">
        <w:trPr>
          <w:trHeight w:val="270"/>
        </w:trPr>
        <w:tc>
          <w:tcPr>
            <w:tcW w:w="613" w:type="pct"/>
            <w:vMerge/>
            <w:tcBorders>
              <w:left w:val="single" w:sz="4" w:space="0" w:color="auto"/>
              <w:right w:val="single" w:sz="4" w:space="0" w:color="auto"/>
            </w:tcBorders>
            <w:vAlign w:val="center"/>
          </w:tcPr>
          <w:p w14:paraId="18233860" w14:textId="77777777" w:rsidR="001206A3" w:rsidRDefault="001206A3" w:rsidP="001206A3">
            <w:pPr>
              <w:widowControl/>
              <w:rPr>
                <w:rFonts w:ascii="宋体" w:hAnsi="宋体" w:hint="eastAsia"/>
                <w:color w:val="000000"/>
                <w:kern w:val="0"/>
                <w:szCs w:val="21"/>
              </w:rPr>
            </w:pPr>
          </w:p>
        </w:tc>
        <w:tc>
          <w:tcPr>
            <w:tcW w:w="1540" w:type="pct"/>
            <w:tcBorders>
              <w:top w:val="nil"/>
              <w:left w:val="nil"/>
              <w:bottom w:val="single" w:sz="4" w:space="0" w:color="auto"/>
              <w:right w:val="single" w:sz="4" w:space="0" w:color="auto"/>
            </w:tcBorders>
            <w:vAlign w:val="center"/>
          </w:tcPr>
          <w:p w14:paraId="1A36716D" w14:textId="10F687AE" w:rsidR="001206A3" w:rsidRDefault="001206A3" w:rsidP="001206A3">
            <w:pPr>
              <w:widowControl/>
              <w:rPr>
                <w:rFonts w:ascii="宋体" w:hAnsi="宋体" w:hint="eastAsia"/>
                <w:color w:val="000000"/>
                <w:kern w:val="0"/>
                <w:szCs w:val="21"/>
              </w:rPr>
            </w:pPr>
            <w:r>
              <w:rPr>
                <w:rFonts w:ascii="宋体" w:hAnsi="宋体" w:hint="eastAsia"/>
                <w:color w:val="000000"/>
                <w:kern w:val="0"/>
                <w:szCs w:val="21"/>
              </w:rPr>
              <w:t>加权平均</w:t>
            </w:r>
            <w:r>
              <w:rPr>
                <w:rFonts w:ascii="宋体" w:hAnsi="宋体"/>
                <w:color w:val="000000"/>
                <w:kern w:val="0"/>
                <w:szCs w:val="21"/>
              </w:rPr>
              <w:t>净资产收益率</w:t>
            </w:r>
          </w:p>
        </w:tc>
        <w:tc>
          <w:tcPr>
            <w:tcW w:w="1078" w:type="pct"/>
            <w:tcBorders>
              <w:top w:val="nil"/>
              <w:left w:val="nil"/>
              <w:bottom w:val="single" w:sz="4" w:space="0" w:color="auto"/>
              <w:right w:val="single" w:sz="4" w:space="0" w:color="auto"/>
            </w:tcBorders>
            <w:noWrap/>
            <w:vAlign w:val="center"/>
          </w:tcPr>
          <w:p w14:paraId="35AA1F11" w14:textId="0A6C8A76"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-41.27%</w:t>
            </w:r>
          </w:p>
        </w:tc>
        <w:tc>
          <w:tcPr>
            <w:tcW w:w="1077" w:type="pct"/>
            <w:tcBorders>
              <w:top w:val="nil"/>
              <w:left w:val="nil"/>
              <w:bottom w:val="single" w:sz="4" w:space="0" w:color="auto"/>
              <w:right w:val="single" w:sz="4" w:space="0" w:color="auto"/>
            </w:tcBorders>
            <w:noWrap/>
            <w:vAlign w:val="center"/>
          </w:tcPr>
          <w:p w14:paraId="5A76990E" w14:textId="3F53EF6F"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-19.86%</w:t>
            </w:r>
          </w:p>
        </w:tc>
        <w:tc>
          <w:tcPr>
            <w:tcW w:w="692" w:type="pct"/>
            <w:tcBorders>
              <w:top w:val="nil"/>
              <w:left w:val="nil"/>
              <w:bottom w:val="single" w:sz="4" w:space="0" w:color="auto"/>
              <w:right w:val="single" w:sz="4" w:space="0" w:color="auto"/>
            </w:tcBorders>
            <w:noWrap/>
            <w:vAlign w:val="center"/>
          </w:tcPr>
          <w:p w14:paraId="12DA8BAD" w14:textId="5593A684"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-21.41%</w:t>
            </w:r>
          </w:p>
        </w:tc>
      </w:tr>
      <w:tr w:rsidR="001206A3" w14:paraId="6A5F3D00" w14:textId="77777777" w:rsidTr="001206A3">
        <w:trPr>
          <w:trHeight w:val="270"/>
        </w:trPr>
        <w:tc>
          <w:tcPr>
            <w:tcW w:w="613" w:type="pct"/>
            <w:vMerge/>
            <w:tcBorders>
              <w:left w:val="single" w:sz="4" w:space="0" w:color="auto"/>
              <w:bottom w:val="single" w:sz="4" w:space="0" w:color="auto"/>
              <w:right w:val="single" w:sz="4" w:space="0" w:color="auto"/>
            </w:tcBorders>
            <w:vAlign w:val="center"/>
          </w:tcPr>
          <w:p w14:paraId="0E56ED7E" w14:textId="77777777" w:rsidR="001206A3" w:rsidRDefault="001206A3" w:rsidP="001206A3">
            <w:pPr>
              <w:widowControl/>
              <w:rPr>
                <w:rFonts w:ascii="宋体" w:hAnsi="宋体" w:hint="eastAsia"/>
                <w:color w:val="000000"/>
                <w:kern w:val="0"/>
                <w:szCs w:val="21"/>
              </w:rPr>
            </w:pPr>
          </w:p>
        </w:tc>
        <w:tc>
          <w:tcPr>
            <w:tcW w:w="1540" w:type="pct"/>
            <w:tcBorders>
              <w:top w:val="single" w:sz="4" w:space="0" w:color="auto"/>
              <w:left w:val="nil"/>
              <w:bottom w:val="single" w:sz="4" w:space="0" w:color="auto"/>
              <w:right w:val="single" w:sz="4" w:space="0" w:color="auto"/>
            </w:tcBorders>
            <w:vAlign w:val="center"/>
          </w:tcPr>
          <w:p w14:paraId="37E1B55E" w14:textId="74792D7C" w:rsidR="001206A3" w:rsidRDefault="001206A3" w:rsidP="001206A3">
            <w:pPr>
              <w:widowControl/>
              <w:rPr>
                <w:rFonts w:ascii="宋体" w:hAnsi="宋体" w:hint="eastAsia"/>
                <w:color w:val="000000"/>
                <w:kern w:val="0"/>
                <w:szCs w:val="21"/>
              </w:rPr>
            </w:pPr>
            <w:proofErr w:type="gramStart"/>
            <w:r>
              <w:rPr>
                <w:rFonts w:ascii="宋体" w:hAnsi="宋体" w:hint="eastAsia"/>
                <w:color w:val="000000"/>
                <w:kern w:val="0"/>
                <w:szCs w:val="21"/>
              </w:rPr>
              <w:t>加权平均</w:t>
            </w:r>
            <w:proofErr w:type="gramEnd"/>
            <w:r>
              <w:rPr>
                <w:rFonts w:ascii="宋体" w:hAnsi="宋体"/>
                <w:color w:val="000000"/>
                <w:kern w:val="0"/>
                <w:szCs w:val="21"/>
              </w:rPr>
              <w:t>净资产收益率（</w:t>
            </w:r>
            <w:proofErr w:type="gramStart"/>
            <w:r>
              <w:rPr>
                <w:rFonts w:ascii="宋体" w:hAnsi="宋体"/>
                <w:color w:val="000000"/>
                <w:kern w:val="0"/>
                <w:szCs w:val="21"/>
              </w:rPr>
              <w:t>扣非后</w:t>
            </w:r>
            <w:proofErr w:type="gramEnd"/>
            <w:r>
              <w:rPr>
                <w:rFonts w:ascii="宋体" w:hAnsi="宋体"/>
                <w:color w:val="000000"/>
                <w:kern w:val="0"/>
                <w:szCs w:val="21"/>
              </w:rPr>
              <w:t>）</w:t>
            </w:r>
          </w:p>
        </w:tc>
        <w:tc>
          <w:tcPr>
            <w:tcW w:w="1078" w:type="pct"/>
            <w:tcBorders>
              <w:top w:val="single" w:sz="4" w:space="0" w:color="auto"/>
              <w:left w:val="nil"/>
              <w:bottom w:val="single" w:sz="4" w:space="0" w:color="auto"/>
              <w:right w:val="single" w:sz="4" w:space="0" w:color="auto"/>
            </w:tcBorders>
            <w:noWrap/>
            <w:vAlign w:val="center"/>
          </w:tcPr>
          <w:p w14:paraId="68F7B2A2" w14:textId="302A16AF"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-38.</w:t>
            </w:r>
            <w:r w:rsidR="0037274C" w:rsidRPr="001206A3">
              <w:rPr>
                <w:rFonts w:ascii="宋体" w:hAnsi="宋体"/>
                <w:color w:val="000000"/>
                <w:kern w:val="0"/>
                <w:szCs w:val="21"/>
              </w:rPr>
              <w:t>0</w:t>
            </w:r>
            <w:r w:rsidR="0037274C">
              <w:rPr>
                <w:rFonts w:ascii="宋体" w:hAnsi="宋体" w:hint="eastAsia"/>
                <w:color w:val="000000"/>
                <w:kern w:val="0"/>
                <w:szCs w:val="21"/>
              </w:rPr>
              <w:t>9</w:t>
            </w:r>
            <w:r w:rsidRPr="001206A3">
              <w:rPr>
                <w:rFonts w:ascii="宋体" w:hAnsi="宋体"/>
                <w:color w:val="000000"/>
                <w:kern w:val="0"/>
                <w:szCs w:val="21"/>
              </w:rPr>
              <w:t>%</w:t>
            </w:r>
          </w:p>
        </w:tc>
        <w:tc>
          <w:tcPr>
            <w:tcW w:w="1077" w:type="pct"/>
            <w:tcBorders>
              <w:top w:val="single" w:sz="4" w:space="0" w:color="auto"/>
              <w:left w:val="nil"/>
              <w:bottom w:val="single" w:sz="4" w:space="0" w:color="auto"/>
              <w:right w:val="single" w:sz="4" w:space="0" w:color="auto"/>
            </w:tcBorders>
            <w:noWrap/>
            <w:vAlign w:val="center"/>
          </w:tcPr>
          <w:p w14:paraId="018CE8BE" w14:textId="5D8B5463"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-20.00%</w:t>
            </w:r>
          </w:p>
        </w:tc>
        <w:tc>
          <w:tcPr>
            <w:tcW w:w="692" w:type="pct"/>
            <w:tcBorders>
              <w:top w:val="single" w:sz="4" w:space="0" w:color="auto"/>
              <w:left w:val="nil"/>
              <w:bottom w:val="single" w:sz="4" w:space="0" w:color="auto"/>
              <w:right w:val="single" w:sz="4" w:space="0" w:color="auto"/>
            </w:tcBorders>
            <w:noWrap/>
            <w:vAlign w:val="center"/>
          </w:tcPr>
          <w:p w14:paraId="15C9661E" w14:textId="59B50CD7" w:rsidR="001206A3" w:rsidRDefault="001206A3" w:rsidP="001206A3">
            <w:pPr>
              <w:widowControl/>
              <w:jc w:val="right"/>
              <w:rPr>
                <w:rFonts w:ascii="宋体" w:hAnsi="宋体" w:hint="eastAsia"/>
                <w:color w:val="000000"/>
                <w:kern w:val="0"/>
                <w:szCs w:val="21"/>
              </w:rPr>
            </w:pPr>
            <w:r w:rsidRPr="001206A3">
              <w:rPr>
                <w:rFonts w:ascii="宋体" w:hAnsi="宋体"/>
                <w:color w:val="000000"/>
                <w:kern w:val="0"/>
                <w:szCs w:val="21"/>
              </w:rPr>
              <w:t>-18.</w:t>
            </w:r>
            <w:r w:rsidR="0037274C" w:rsidRPr="001206A3">
              <w:rPr>
                <w:rFonts w:ascii="宋体" w:hAnsi="宋体"/>
                <w:color w:val="000000"/>
                <w:kern w:val="0"/>
                <w:szCs w:val="21"/>
              </w:rPr>
              <w:t>0</w:t>
            </w:r>
            <w:r w:rsidR="0037274C">
              <w:rPr>
                <w:rFonts w:ascii="宋体" w:hAnsi="宋体" w:hint="eastAsia"/>
                <w:color w:val="000000"/>
                <w:kern w:val="0"/>
                <w:szCs w:val="21"/>
              </w:rPr>
              <w:t>9</w:t>
            </w:r>
            <w:r w:rsidRPr="001206A3">
              <w:rPr>
                <w:rFonts w:ascii="宋体" w:hAnsi="宋体"/>
                <w:color w:val="000000"/>
                <w:kern w:val="0"/>
                <w:szCs w:val="21"/>
              </w:rPr>
              <w:t>%</w:t>
            </w:r>
          </w:p>
        </w:tc>
      </w:tr>
    </w:tbl>
    <w:p w14:paraId="715DCBD1" w14:textId="5D8510ED" w:rsidR="003B35DC" w:rsidRDefault="00877547" w:rsidP="00783179">
      <w:pPr>
        <w:pStyle w:val="Default"/>
        <w:spacing w:beforeLines="50" w:before="156" w:afterLines="50" w:after="156" w:line="420" w:lineRule="exact"/>
        <w:ind w:firstLine="420"/>
        <w:jc w:val="right"/>
        <w:rPr>
          <w:rFonts w:hAnsi="宋体" w:cs="Times New Roman" w:hint="eastAsia"/>
        </w:rPr>
      </w:pPr>
      <w:r>
        <w:rPr>
          <w:rFonts w:hAnsi="宋体" w:cs="Times New Roman"/>
        </w:rPr>
        <w:t>东江环保股份有限公司</w:t>
      </w:r>
    </w:p>
    <w:p w14:paraId="3660F51B" w14:textId="62B9B32B" w:rsidR="003B35DC" w:rsidRDefault="00877547" w:rsidP="00783179">
      <w:pPr>
        <w:pStyle w:val="Default"/>
        <w:spacing w:beforeLines="50" w:before="156" w:afterLines="50" w:after="156" w:line="420" w:lineRule="exact"/>
        <w:ind w:firstLine="420"/>
        <w:jc w:val="right"/>
        <w:rPr>
          <w:rFonts w:hAnsi="宋体" w:cs="Times New Roman" w:hint="eastAsia"/>
        </w:rPr>
      </w:pPr>
      <w:r>
        <w:rPr>
          <w:rFonts w:hAnsi="宋体" w:cs="Times New Roman"/>
        </w:rPr>
        <w:t>202</w:t>
      </w:r>
      <w:r w:rsidR="00C61C67">
        <w:rPr>
          <w:rFonts w:hAnsi="宋体" w:cs="Times New Roman" w:hint="eastAsia"/>
        </w:rPr>
        <w:t>6</w:t>
      </w:r>
      <w:r>
        <w:rPr>
          <w:rFonts w:hAnsi="宋体" w:cs="Times New Roman"/>
        </w:rPr>
        <w:t>年3月</w:t>
      </w:r>
      <w:r w:rsidR="00DD1477">
        <w:rPr>
          <w:rFonts w:hAnsi="宋体" w:cs="Times New Roman" w:hint="eastAsia"/>
        </w:rPr>
        <w:t>27</w:t>
      </w:r>
      <w:r>
        <w:rPr>
          <w:rFonts w:hAnsi="宋体" w:cs="Times New Roman"/>
        </w:rPr>
        <w:t>日</w:t>
      </w:r>
    </w:p>
    <w:sectPr w:rsidR="003B35DC" w:rsidSect="00DD1477">
      <w:headerReference w:type="default" r:id="rId8"/>
      <w:footerReference w:type="even" r:id="rId9"/>
      <w:footerReference w:type="default" r:id="rId10"/>
      <w:type w:val="continuous"/>
      <w:pgSz w:w="11906" w:h="16838"/>
      <w:pgMar w:top="1440" w:right="1800" w:bottom="1440" w:left="1800" w:header="567" w:footer="567"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6FC57" w14:textId="77777777" w:rsidR="001C6825" w:rsidRDefault="001C6825">
      <w:r>
        <w:separator/>
      </w:r>
    </w:p>
  </w:endnote>
  <w:endnote w:type="continuationSeparator" w:id="0">
    <w:p w14:paraId="1B1ED297" w14:textId="77777777" w:rsidR="001C6825" w:rsidRDefault="001C6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E051" w14:textId="77777777" w:rsidR="00454CCE" w:rsidRDefault="00454CCE">
    <w:pPr>
      <w:pStyle w:val="aa"/>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5BD35DA" w14:textId="77777777" w:rsidR="00454CCE" w:rsidRDefault="00454CC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A6B0" w14:textId="29194642" w:rsidR="00454CCE" w:rsidRDefault="00454CCE">
    <w:pPr>
      <w:pStyle w:val="aa"/>
      <w:jc w:val="center"/>
    </w:pPr>
    <w:r>
      <w:fldChar w:fldCharType="begin"/>
    </w:r>
    <w:r>
      <w:instrText xml:space="preserve"> PAGE   \* MERGEFORMAT </w:instrText>
    </w:r>
    <w:r>
      <w:fldChar w:fldCharType="separate"/>
    </w:r>
    <w:r w:rsidR="00072806">
      <w:rPr>
        <w:noProof/>
      </w:rPr>
      <w:t>4</w:t>
    </w:r>
    <w:r>
      <w:fldChar w:fldCharType="end"/>
    </w:r>
  </w:p>
  <w:p w14:paraId="144A9A10" w14:textId="77777777" w:rsidR="00454CCE" w:rsidRDefault="00454CCE">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8CEC1" w14:textId="77777777" w:rsidR="001C6825" w:rsidRDefault="001C6825">
      <w:r>
        <w:separator/>
      </w:r>
    </w:p>
  </w:footnote>
  <w:footnote w:type="continuationSeparator" w:id="0">
    <w:p w14:paraId="46E4212A" w14:textId="77777777" w:rsidR="001C6825" w:rsidRDefault="001C6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46E98" w14:textId="77777777" w:rsidR="00454CCE" w:rsidRDefault="00454CCE">
    <w:pPr>
      <w:pStyle w:val="ac"/>
      <w:jc w:val="both"/>
      <w:rPr>
        <w:b/>
        <w:i/>
      </w:rPr>
    </w:pPr>
    <w:r>
      <w:rPr>
        <w:rFonts w:hint="eastAsia"/>
        <w:b/>
        <w:i/>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C3E"/>
    <w:rsid w:val="00000DC8"/>
    <w:rsid w:val="00001AB2"/>
    <w:rsid w:val="00001F77"/>
    <w:rsid w:val="00002392"/>
    <w:rsid w:val="00002B09"/>
    <w:rsid w:val="00004601"/>
    <w:rsid w:val="000047A3"/>
    <w:rsid w:val="000049EE"/>
    <w:rsid w:val="00005AEC"/>
    <w:rsid w:val="00005C3F"/>
    <w:rsid w:val="000067A4"/>
    <w:rsid w:val="000100BD"/>
    <w:rsid w:val="00010ED4"/>
    <w:rsid w:val="00012067"/>
    <w:rsid w:val="000125CF"/>
    <w:rsid w:val="00012B6C"/>
    <w:rsid w:val="00013C87"/>
    <w:rsid w:val="000150F1"/>
    <w:rsid w:val="0001531B"/>
    <w:rsid w:val="00016171"/>
    <w:rsid w:val="00016265"/>
    <w:rsid w:val="00016389"/>
    <w:rsid w:val="00016452"/>
    <w:rsid w:val="000173EC"/>
    <w:rsid w:val="00017B3C"/>
    <w:rsid w:val="00017EA7"/>
    <w:rsid w:val="00017FEE"/>
    <w:rsid w:val="00020144"/>
    <w:rsid w:val="000204B0"/>
    <w:rsid w:val="00020CBA"/>
    <w:rsid w:val="00020DC8"/>
    <w:rsid w:val="00021C4F"/>
    <w:rsid w:val="0002338D"/>
    <w:rsid w:val="00023504"/>
    <w:rsid w:val="00024CB7"/>
    <w:rsid w:val="00026BAF"/>
    <w:rsid w:val="00026CE2"/>
    <w:rsid w:val="00031FB2"/>
    <w:rsid w:val="00032837"/>
    <w:rsid w:val="00036A0B"/>
    <w:rsid w:val="000370FB"/>
    <w:rsid w:val="0003730E"/>
    <w:rsid w:val="00037C5E"/>
    <w:rsid w:val="00037F58"/>
    <w:rsid w:val="000404BA"/>
    <w:rsid w:val="00040CF9"/>
    <w:rsid w:val="00040DE7"/>
    <w:rsid w:val="000410A4"/>
    <w:rsid w:val="0004117D"/>
    <w:rsid w:val="00042429"/>
    <w:rsid w:val="00042CF1"/>
    <w:rsid w:val="00046287"/>
    <w:rsid w:val="00046BCA"/>
    <w:rsid w:val="00050BBC"/>
    <w:rsid w:val="0005144B"/>
    <w:rsid w:val="00051A53"/>
    <w:rsid w:val="00051C37"/>
    <w:rsid w:val="00051D78"/>
    <w:rsid w:val="0005279D"/>
    <w:rsid w:val="000528D1"/>
    <w:rsid w:val="00052F45"/>
    <w:rsid w:val="00053158"/>
    <w:rsid w:val="00054C97"/>
    <w:rsid w:val="0005525C"/>
    <w:rsid w:val="000552BA"/>
    <w:rsid w:val="000618F3"/>
    <w:rsid w:val="00061BC7"/>
    <w:rsid w:val="00061C17"/>
    <w:rsid w:val="00061F9B"/>
    <w:rsid w:val="00063049"/>
    <w:rsid w:val="000633D7"/>
    <w:rsid w:val="000637EA"/>
    <w:rsid w:val="00063E65"/>
    <w:rsid w:val="00064938"/>
    <w:rsid w:val="00066C1E"/>
    <w:rsid w:val="00067372"/>
    <w:rsid w:val="00070C4C"/>
    <w:rsid w:val="00072806"/>
    <w:rsid w:val="00072EF7"/>
    <w:rsid w:val="00073575"/>
    <w:rsid w:val="00074845"/>
    <w:rsid w:val="00075A13"/>
    <w:rsid w:val="000764EF"/>
    <w:rsid w:val="000767B3"/>
    <w:rsid w:val="00077566"/>
    <w:rsid w:val="00080028"/>
    <w:rsid w:val="00080CA0"/>
    <w:rsid w:val="00080DDE"/>
    <w:rsid w:val="00081257"/>
    <w:rsid w:val="00081C7D"/>
    <w:rsid w:val="00081CA6"/>
    <w:rsid w:val="00084095"/>
    <w:rsid w:val="0008473D"/>
    <w:rsid w:val="00084F58"/>
    <w:rsid w:val="00085D88"/>
    <w:rsid w:val="00086576"/>
    <w:rsid w:val="00087033"/>
    <w:rsid w:val="00087559"/>
    <w:rsid w:val="00087719"/>
    <w:rsid w:val="00090818"/>
    <w:rsid w:val="00090AFD"/>
    <w:rsid w:val="00090D4B"/>
    <w:rsid w:val="0009234A"/>
    <w:rsid w:val="0009240B"/>
    <w:rsid w:val="00092594"/>
    <w:rsid w:val="0009429F"/>
    <w:rsid w:val="000972CF"/>
    <w:rsid w:val="000A03AC"/>
    <w:rsid w:val="000A1777"/>
    <w:rsid w:val="000A1BFA"/>
    <w:rsid w:val="000A2B1F"/>
    <w:rsid w:val="000A2B30"/>
    <w:rsid w:val="000A484A"/>
    <w:rsid w:val="000A52A9"/>
    <w:rsid w:val="000A58CE"/>
    <w:rsid w:val="000A622B"/>
    <w:rsid w:val="000B036F"/>
    <w:rsid w:val="000B2791"/>
    <w:rsid w:val="000B28DE"/>
    <w:rsid w:val="000B3E67"/>
    <w:rsid w:val="000B4C30"/>
    <w:rsid w:val="000B4CD7"/>
    <w:rsid w:val="000B52E3"/>
    <w:rsid w:val="000B6063"/>
    <w:rsid w:val="000B621B"/>
    <w:rsid w:val="000B70A8"/>
    <w:rsid w:val="000B7414"/>
    <w:rsid w:val="000B789B"/>
    <w:rsid w:val="000B78C5"/>
    <w:rsid w:val="000C0401"/>
    <w:rsid w:val="000C0792"/>
    <w:rsid w:val="000C13C1"/>
    <w:rsid w:val="000C239F"/>
    <w:rsid w:val="000C47A8"/>
    <w:rsid w:val="000C4ECE"/>
    <w:rsid w:val="000C500A"/>
    <w:rsid w:val="000C6666"/>
    <w:rsid w:val="000C68B8"/>
    <w:rsid w:val="000C6B84"/>
    <w:rsid w:val="000D00F4"/>
    <w:rsid w:val="000D061C"/>
    <w:rsid w:val="000D1510"/>
    <w:rsid w:val="000D24D0"/>
    <w:rsid w:val="000D278A"/>
    <w:rsid w:val="000D368C"/>
    <w:rsid w:val="000D399B"/>
    <w:rsid w:val="000D3C50"/>
    <w:rsid w:val="000D4285"/>
    <w:rsid w:val="000D5077"/>
    <w:rsid w:val="000D67AA"/>
    <w:rsid w:val="000D6E60"/>
    <w:rsid w:val="000D741A"/>
    <w:rsid w:val="000D7A60"/>
    <w:rsid w:val="000E0006"/>
    <w:rsid w:val="000E10A6"/>
    <w:rsid w:val="000E1388"/>
    <w:rsid w:val="000E1784"/>
    <w:rsid w:val="000E2024"/>
    <w:rsid w:val="000E294F"/>
    <w:rsid w:val="000E3FDB"/>
    <w:rsid w:val="000E46C6"/>
    <w:rsid w:val="000E4975"/>
    <w:rsid w:val="000E4C7C"/>
    <w:rsid w:val="000E6775"/>
    <w:rsid w:val="000E7BF2"/>
    <w:rsid w:val="000E7E48"/>
    <w:rsid w:val="000F2A3F"/>
    <w:rsid w:val="000F2B06"/>
    <w:rsid w:val="000F3A91"/>
    <w:rsid w:val="000F44DD"/>
    <w:rsid w:val="000F47CF"/>
    <w:rsid w:val="000F4B44"/>
    <w:rsid w:val="000F6081"/>
    <w:rsid w:val="000F6859"/>
    <w:rsid w:val="000F6E38"/>
    <w:rsid w:val="000F705B"/>
    <w:rsid w:val="000F73E5"/>
    <w:rsid w:val="000F765E"/>
    <w:rsid w:val="000F778D"/>
    <w:rsid w:val="00100579"/>
    <w:rsid w:val="00100675"/>
    <w:rsid w:val="00101DFB"/>
    <w:rsid w:val="00102157"/>
    <w:rsid w:val="001028F8"/>
    <w:rsid w:val="00106096"/>
    <w:rsid w:val="001061AC"/>
    <w:rsid w:val="001070DC"/>
    <w:rsid w:val="00110268"/>
    <w:rsid w:val="00111007"/>
    <w:rsid w:val="00111965"/>
    <w:rsid w:val="00111BE1"/>
    <w:rsid w:val="00111D00"/>
    <w:rsid w:val="00111D6B"/>
    <w:rsid w:val="0011248C"/>
    <w:rsid w:val="00113DDE"/>
    <w:rsid w:val="00114C40"/>
    <w:rsid w:val="00115433"/>
    <w:rsid w:val="0011597E"/>
    <w:rsid w:val="001171DD"/>
    <w:rsid w:val="001203D4"/>
    <w:rsid w:val="001206A3"/>
    <w:rsid w:val="00120ADC"/>
    <w:rsid w:val="00120D9D"/>
    <w:rsid w:val="0012175F"/>
    <w:rsid w:val="00122D3C"/>
    <w:rsid w:val="0012369A"/>
    <w:rsid w:val="001256EA"/>
    <w:rsid w:val="001265C5"/>
    <w:rsid w:val="0012673E"/>
    <w:rsid w:val="00126BBC"/>
    <w:rsid w:val="00127212"/>
    <w:rsid w:val="001279BC"/>
    <w:rsid w:val="001306EE"/>
    <w:rsid w:val="00130C7B"/>
    <w:rsid w:val="00131272"/>
    <w:rsid w:val="00133973"/>
    <w:rsid w:val="00133CE5"/>
    <w:rsid w:val="00134377"/>
    <w:rsid w:val="0013458D"/>
    <w:rsid w:val="001362DB"/>
    <w:rsid w:val="00136316"/>
    <w:rsid w:val="00136345"/>
    <w:rsid w:val="0013685C"/>
    <w:rsid w:val="00136C4A"/>
    <w:rsid w:val="00137AF8"/>
    <w:rsid w:val="001401A7"/>
    <w:rsid w:val="001403D3"/>
    <w:rsid w:val="00141AFD"/>
    <w:rsid w:val="00143BB4"/>
    <w:rsid w:val="00145906"/>
    <w:rsid w:val="00146632"/>
    <w:rsid w:val="001479C2"/>
    <w:rsid w:val="00147F86"/>
    <w:rsid w:val="0015098C"/>
    <w:rsid w:val="00151131"/>
    <w:rsid w:val="00151614"/>
    <w:rsid w:val="001529EB"/>
    <w:rsid w:val="00152E4A"/>
    <w:rsid w:val="00152EDE"/>
    <w:rsid w:val="001534AB"/>
    <w:rsid w:val="00153FAD"/>
    <w:rsid w:val="0015471F"/>
    <w:rsid w:val="00154B86"/>
    <w:rsid w:val="001561F4"/>
    <w:rsid w:val="0015656F"/>
    <w:rsid w:val="00156B05"/>
    <w:rsid w:val="00157E43"/>
    <w:rsid w:val="00157F56"/>
    <w:rsid w:val="001605BF"/>
    <w:rsid w:val="001608F9"/>
    <w:rsid w:val="00160C83"/>
    <w:rsid w:val="00161783"/>
    <w:rsid w:val="0016231F"/>
    <w:rsid w:val="0016292D"/>
    <w:rsid w:val="0016296F"/>
    <w:rsid w:val="001674C9"/>
    <w:rsid w:val="00167D41"/>
    <w:rsid w:val="0017013A"/>
    <w:rsid w:val="00171787"/>
    <w:rsid w:val="001725F0"/>
    <w:rsid w:val="001735D9"/>
    <w:rsid w:val="001738E1"/>
    <w:rsid w:val="0017412F"/>
    <w:rsid w:val="00177EBC"/>
    <w:rsid w:val="00181F60"/>
    <w:rsid w:val="00181F66"/>
    <w:rsid w:val="00182232"/>
    <w:rsid w:val="0018238F"/>
    <w:rsid w:val="0018337B"/>
    <w:rsid w:val="00183569"/>
    <w:rsid w:val="00183CCE"/>
    <w:rsid w:val="001844F5"/>
    <w:rsid w:val="001858A8"/>
    <w:rsid w:val="00185A6B"/>
    <w:rsid w:val="00185DDD"/>
    <w:rsid w:val="001879F5"/>
    <w:rsid w:val="00187A28"/>
    <w:rsid w:val="00187F76"/>
    <w:rsid w:val="00191330"/>
    <w:rsid w:val="0019150D"/>
    <w:rsid w:val="00191E3D"/>
    <w:rsid w:val="00191E7E"/>
    <w:rsid w:val="00191FEC"/>
    <w:rsid w:val="00193131"/>
    <w:rsid w:val="001937C8"/>
    <w:rsid w:val="0019400A"/>
    <w:rsid w:val="001949EC"/>
    <w:rsid w:val="00194A5D"/>
    <w:rsid w:val="00196969"/>
    <w:rsid w:val="001A032F"/>
    <w:rsid w:val="001A056C"/>
    <w:rsid w:val="001A0CBD"/>
    <w:rsid w:val="001A0D1F"/>
    <w:rsid w:val="001A0E19"/>
    <w:rsid w:val="001A1365"/>
    <w:rsid w:val="001A1B84"/>
    <w:rsid w:val="001A1BED"/>
    <w:rsid w:val="001A1D80"/>
    <w:rsid w:val="001A2AD4"/>
    <w:rsid w:val="001A3247"/>
    <w:rsid w:val="001A3C0B"/>
    <w:rsid w:val="001A456E"/>
    <w:rsid w:val="001A45EF"/>
    <w:rsid w:val="001A4678"/>
    <w:rsid w:val="001A4969"/>
    <w:rsid w:val="001A4BCC"/>
    <w:rsid w:val="001A51DD"/>
    <w:rsid w:val="001A5B9A"/>
    <w:rsid w:val="001A7F8C"/>
    <w:rsid w:val="001B073E"/>
    <w:rsid w:val="001B294F"/>
    <w:rsid w:val="001B3584"/>
    <w:rsid w:val="001B50AB"/>
    <w:rsid w:val="001B516B"/>
    <w:rsid w:val="001B5B68"/>
    <w:rsid w:val="001B5EAC"/>
    <w:rsid w:val="001B68F0"/>
    <w:rsid w:val="001B6A5F"/>
    <w:rsid w:val="001B793F"/>
    <w:rsid w:val="001C1CC9"/>
    <w:rsid w:val="001C1D8E"/>
    <w:rsid w:val="001C28DE"/>
    <w:rsid w:val="001C2DB2"/>
    <w:rsid w:val="001C48D0"/>
    <w:rsid w:val="001C48FE"/>
    <w:rsid w:val="001C4A14"/>
    <w:rsid w:val="001C5D66"/>
    <w:rsid w:val="001C6825"/>
    <w:rsid w:val="001C69D5"/>
    <w:rsid w:val="001C7D87"/>
    <w:rsid w:val="001D06F8"/>
    <w:rsid w:val="001D1044"/>
    <w:rsid w:val="001D147B"/>
    <w:rsid w:val="001D1C7E"/>
    <w:rsid w:val="001D21F7"/>
    <w:rsid w:val="001D314B"/>
    <w:rsid w:val="001D40F7"/>
    <w:rsid w:val="001D5942"/>
    <w:rsid w:val="001D6251"/>
    <w:rsid w:val="001D634D"/>
    <w:rsid w:val="001D65C8"/>
    <w:rsid w:val="001D7266"/>
    <w:rsid w:val="001D773F"/>
    <w:rsid w:val="001E1244"/>
    <w:rsid w:val="001E129A"/>
    <w:rsid w:val="001E164A"/>
    <w:rsid w:val="001E2212"/>
    <w:rsid w:val="001E29F3"/>
    <w:rsid w:val="001E3891"/>
    <w:rsid w:val="001E4872"/>
    <w:rsid w:val="001E4C53"/>
    <w:rsid w:val="001E5CA7"/>
    <w:rsid w:val="001E5E99"/>
    <w:rsid w:val="001E69F0"/>
    <w:rsid w:val="001E6DC2"/>
    <w:rsid w:val="001F151F"/>
    <w:rsid w:val="001F1B99"/>
    <w:rsid w:val="001F4D9F"/>
    <w:rsid w:val="001F57A7"/>
    <w:rsid w:val="001F5C54"/>
    <w:rsid w:val="001F6291"/>
    <w:rsid w:val="001F65D4"/>
    <w:rsid w:val="001F77C3"/>
    <w:rsid w:val="001F7BD2"/>
    <w:rsid w:val="00200043"/>
    <w:rsid w:val="00200775"/>
    <w:rsid w:val="00202767"/>
    <w:rsid w:val="00202F77"/>
    <w:rsid w:val="00204B0A"/>
    <w:rsid w:val="002054BE"/>
    <w:rsid w:val="00205D76"/>
    <w:rsid w:val="00206046"/>
    <w:rsid w:val="00206169"/>
    <w:rsid w:val="002076EC"/>
    <w:rsid w:val="00207E8C"/>
    <w:rsid w:val="002101A5"/>
    <w:rsid w:val="00211332"/>
    <w:rsid w:val="00211EFD"/>
    <w:rsid w:val="002122D8"/>
    <w:rsid w:val="00212750"/>
    <w:rsid w:val="00212D57"/>
    <w:rsid w:val="00214490"/>
    <w:rsid w:val="002168A4"/>
    <w:rsid w:val="00220017"/>
    <w:rsid w:val="002204F7"/>
    <w:rsid w:val="00220EC6"/>
    <w:rsid w:val="00221434"/>
    <w:rsid w:val="00223CD4"/>
    <w:rsid w:val="00224AF0"/>
    <w:rsid w:val="00225B9E"/>
    <w:rsid w:val="002303A6"/>
    <w:rsid w:val="002316AA"/>
    <w:rsid w:val="00231C60"/>
    <w:rsid w:val="00233458"/>
    <w:rsid w:val="00234D10"/>
    <w:rsid w:val="00235A0B"/>
    <w:rsid w:val="0023650E"/>
    <w:rsid w:val="0023714A"/>
    <w:rsid w:val="00237233"/>
    <w:rsid w:val="00237F4D"/>
    <w:rsid w:val="002400FC"/>
    <w:rsid w:val="002417F0"/>
    <w:rsid w:val="00241858"/>
    <w:rsid w:val="00241A27"/>
    <w:rsid w:val="00241B11"/>
    <w:rsid w:val="00241CF7"/>
    <w:rsid w:val="002431EA"/>
    <w:rsid w:val="00243621"/>
    <w:rsid w:val="00243F89"/>
    <w:rsid w:val="0024400C"/>
    <w:rsid w:val="00244CBD"/>
    <w:rsid w:val="00246B2B"/>
    <w:rsid w:val="0024776F"/>
    <w:rsid w:val="0024785D"/>
    <w:rsid w:val="002500F4"/>
    <w:rsid w:val="002503D5"/>
    <w:rsid w:val="00250A70"/>
    <w:rsid w:val="00250F82"/>
    <w:rsid w:val="00251C2A"/>
    <w:rsid w:val="002538DD"/>
    <w:rsid w:val="00253F59"/>
    <w:rsid w:val="002546AA"/>
    <w:rsid w:val="002547BA"/>
    <w:rsid w:val="00254F19"/>
    <w:rsid w:val="00255B51"/>
    <w:rsid w:val="00256EBD"/>
    <w:rsid w:val="002571A5"/>
    <w:rsid w:val="00257ECF"/>
    <w:rsid w:val="00261CA3"/>
    <w:rsid w:val="00261DDE"/>
    <w:rsid w:val="00263282"/>
    <w:rsid w:val="0026569E"/>
    <w:rsid w:val="00265D20"/>
    <w:rsid w:val="00266BA7"/>
    <w:rsid w:val="00267790"/>
    <w:rsid w:val="002712A9"/>
    <w:rsid w:val="0027147A"/>
    <w:rsid w:val="00271E19"/>
    <w:rsid w:val="002726D0"/>
    <w:rsid w:val="002737A5"/>
    <w:rsid w:val="00273E19"/>
    <w:rsid w:val="0027461B"/>
    <w:rsid w:val="00274661"/>
    <w:rsid w:val="002764D6"/>
    <w:rsid w:val="0027767D"/>
    <w:rsid w:val="00277ADC"/>
    <w:rsid w:val="00280803"/>
    <w:rsid w:val="0028141D"/>
    <w:rsid w:val="00281DCB"/>
    <w:rsid w:val="0028217A"/>
    <w:rsid w:val="002823FF"/>
    <w:rsid w:val="00282BBB"/>
    <w:rsid w:val="00282FA1"/>
    <w:rsid w:val="00283DEA"/>
    <w:rsid w:val="00283E4F"/>
    <w:rsid w:val="002861F1"/>
    <w:rsid w:val="00286CA3"/>
    <w:rsid w:val="00287780"/>
    <w:rsid w:val="00287C79"/>
    <w:rsid w:val="0029019A"/>
    <w:rsid w:val="0029189D"/>
    <w:rsid w:val="00291AF4"/>
    <w:rsid w:val="00291C6A"/>
    <w:rsid w:val="002921B4"/>
    <w:rsid w:val="00292775"/>
    <w:rsid w:val="0029388E"/>
    <w:rsid w:val="00295379"/>
    <w:rsid w:val="00295866"/>
    <w:rsid w:val="00295F2B"/>
    <w:rsid w:val="002A090F"/>
    <w:rsid w:val="002A0BD6"/>
    <w:rsid w:val="002A11F5"/>
    <w:rsid w:val="002A1224"/>
    <w:rsid w:val="002A1995"/>
    <w:rsid w:val="002A21AA"/>
    <w:rsid w:val="002A270C"/>
    <w:rsid w:val="002A2F40"/>
    <w:rsid w:val="002A30BB"/>
    <w:rsid w:val="002A3274"/>
    <w:rsid w:val="002A39C2"/>
    <w:rsid w:val="002A4F82"/>
    <w:rsid w:val="002A555B"/>
    <w:rsid w:val="002A58D8"/>
    <w:rsid w:val="002A6019"/>
    <w:rsid w:val="002A60A4"/>
    <w:rsid w:val="002A6709"/>
    <w:rsid w:val="002A6888"/>
    <w:rsid w:val="002A69B9"/>
    <w:rsid w:val="002A6A92"/>
    <w:rsid w:val="002A6B00"/>
    <w:rsid w:val="002A7B4B"/>
    <w:rsid w:val="002B09B7"/>
    <w:rsid w:val="002B189D"/>
    <w:rsid w:val="002B27FB"/>
    <w:rsid w:val="002B3C61"/>
    <w:rsid w:val="002B3F09"/>
    <w:rsid w:val="002B430B"/>
    <w:rsid w:val="002B44ED"/>
    <w:rsid w:val="002B4873"/>
    <w:rsid w:val="002B494A"/>
    <w:rsid w:val="002B4B5D"/>
    <w:rsid w:val="002B4FAB"/>
    <w:rsid w:val="002B63B2"/>
    <w:rsid w:val="002B69CD"/>
    <w:rsid w:val="002B6BB9"/>
    <w:rsid w:val="002B6CEC"/>
    <w:rsid w:val="002B6EE1"/>
    <w:rsid w:val="002B6FA5"/>
    <w:rsid w:val="002B7A10"/>
    <w:rsid w:val="002C01F6"/>
    <w:rsid w:val="002C3EF8"/>
    <w:rsid w:val="002C471C"/>
    <w:rsid w:val="002C4F6D"/>
    <w:rsid w:val="002C5821"/>
    <w:rsid w:val="002C6114"/>
    <w:rsid w:val="002C6432"/>
    <w:rsid w:val="002D13B0"/>
    <w:rsid w:val="002D1A81"/>
    <w:rsid w:val="002D2B96"/>
    <w:rsid w:val="002D4CC6"/>
    <w:rsid w:val="002D522E"/>
    <w:rsid w:val="002D5EFE"/>
    <w:rsid w:val="002D603F"/>
    <w:rsid w:val="002D7574"/>
    <w:rsid w:val="002E00E9"/>
    <w:rsid w:val="002E08AD"/>
    <w:rsid w:val="002E0DDD"/>
    <w:rsid w:val="002E15E1"/>
    <w:rsid w:val="002E1EB7"/>
    <w:rsid w:val="002E2133"/>
    <w:rsid w:val="002E2B0A"/>
    <w:rsid w:val="002E2B76"/>
    <w:rsid w:val="002E2E31"/>
    <w:rsid w:val="002E3198"/>
    <w:rsid w:val="002E36D8"/>
    <w:rsid w:val="002E3EAA"/>
    <w:rsid w:val="002E4391"/>
    <w:rsid w:val="002E4A61"/>
    <w:rsid w:val="002E6140"/>
    <w:rsid w:val="002E6405"/>
    <w:rsid w:val="002E7724"/>
    <w:rsid w:val="002E7E94"/>
    <w:rsid w:val="002F13FB"/>
    <w:rsid w:val="002F14FF"/>
    <w:rsid w:val="002F1D19"/>
    <w:rsid w:val="002F2B77"/>
    <w:rsid w:val="002F328C"/>
    <w:rsid w:val="002F3352"/>
    <w:rsid w:val="002F471B"/>
    <w:rsid w:val="002F79CF"/>
    <w:rsid w:val="0030111A"/>
    <w:rsid w:val="0030160C"/>
    <w:rsid w:val="00301DE6"/>
    <w:rsid w:val="0030548D"/>
    <w:rsid w:val="0030582C"/>
    <w:rsid w:val="00305B7D"/>
    <w:rsid w:val="00305BA5"/>
    <w:rsid w:val="00305F21"/>
    <w:rsid w:val="00306E39"/>
    <w:rsid w:val="0030701A"/>
    <w:rsid w:val="00307E1C"/>
    <w:rsid w:val="00310223"/>
    <w:rsid w:val="00311EC2"/>
    <w:rsid w:val="00312280"/>
    <w:rsid w:val="00312D2B"/>
    <w:rsid w:val="0031326E"/>
    <w:rsid w:val="00314F02"/>
    <w:rsid w:val="00314FA7"/>
    <w:rsid w:val="0031520F"/>
    <w:rsid w:val="003164DC"/>
    <w:rsid w:val="00317627"/>
    <w:rsid w:val="0031764D"/>
    <w:rsid w:val="003179A2"/>
    <w:rsid w:val="003205D5"/>
    <w:rsid w:val="00320658"/>
    <w:rsid w:val="00321EEA"/>
    <w:rsid w:val="00322585"/>
    <w:rsid w:val="003232AB"/>
    <w:rsid w:val="00323993"/>
    <w:rsid w:val="00324B78"/>
    <w:rsid w:val="00325AD3"/>
    <w:rsid w:val="00325BAB"/>
    <w:rsid w:val="00325C55"/>
    <w:rsid w:val="00325C5D"/>
    <w:rsid w:val="0033047E"/>
    <w:rsid w:val="003310C9"/>
    <w:rsid w:val="00331476"/>
    <w:rsid w:val="0033153B"/>
    <w:rsid w:val="0033255C"/>
    <w:rsid w:val="003328EE"/>
    <w:rsid w:val="00335BBE"/>
    <w:rsid w:val="003407E7"/>
    <w:rsid w:val="0034178A"/>
    <w:rsid w:val="00342193"/>
    <w:rsid w:val="003422B8"/>
    <w:rsid w:val="0034282F"/>
    <w:rsid w:val="00342988"/>
    <w:rsid w:val="0034374F"/>
    <w:rsid w:val="003453EB"/>
    <w:rsid w:val="003455FE"/>
    <w:rsid w:val="00345EE3"/>
    <w:rsid w:val="0034689C"/>
    <w:rsid w:val="0034765D"/>
    <w:rsid w:val="00347B09"/>
    <w:rsid w:val="00350D08"/>
    <w:rsid w:val="00351354"/>
    <w:rsid w:val="00351E89"/>
    <w:rsid w:val="003520E0"/>
    <w:rsid w:val="00352204"/>
    <w:rsid w:val="00352B37"/>
    <w:rsid w:val="00352EC1"/>
    <w:rsid w:val="003537D5"/>
    <w:rsid w:val="00355386"/>
    <w:rsid w:val="0035647F"/>
    <w:rsid w:val="003568AB"/>
    <w:rsid w:val="00356C89"/>
    <w:rsid w:val="003572E3"/>
    <w:rsid w:val="0036072D"/>
    <w:rsid w:val="003617F0"/>
    <w:rsid w:val="00361F0D"/>
    <w:rsid w:val="00361FD6"/>
    <w:rsid w:val="00362187"/>
    <w:rsid w:val="0036275A"/>
    <w:rsid w:val="00363358"/>
    <w:rsid w:val="003634F7"/>
    <w:rsid w:val="0036353C"/>
    <w:rsid w:val="00363E21"/>
    <w:rsid w:val="0036663F"/>
    <w:rsid w:val="00366E1F"/>
    <w:rsid w:val="00366E7F"/>
    <w:rsid w:val="003672EF"/>
    <w:rsid w:val="003675B1"/>
    <w:rsid w:val="00367A81"/>
    <w:rsid w:val="003706A4"/>
    <w:rsid w:val="003707D1"/>
    <w:rsid w:val="003714AC"/>
    <w:rsid w:val="0037274C"/>
    <w:rsid w:val="00372C34"/>
    <w:rsid w:val="00373D43"/>
    <w:rsid w:val="00377AF8"/>
    <w:rsid w:val="00377FA1"/>
    <w:rsid w:val="00380C75"/>
    <w:rsid w:val="00382DC9"/>
    <w:rsid w:val="00382E3D"/>
    <w:rsid w:val="00383D38"/>
    <w:rsid w:val="00384236"/>
    <w:rsid w:val="003846FB"/>
    <w:rsid w:val="0038517E"/>
    <w:rsid w:val="00385886"/>
    <w:rsid w:val="003862D5"/>
    <w:rsid w:val="00386FF1"/>
    <w:rsid w:val="0038714C"/>
    <w:rsid w:val="00387A7C"/>
    <w:rsid w:val="00387F62"/>
    <w:rsid w:val="00390B1F"/>
    <w:rsid w:val="00394661"/>
    <w:rsid w:val="003956BD"/>
    <w:rsid w:val="003956D1"/>
    <w:rsid w:val="0039572B"/>
    <w:rsid w:val="00396170"/>
    <w:rsid w:val="00397138"/>
    <w:rsid w:val="003976EF"/>
    <w:rsid w:val="003979BA"/>
    <w:rsid w:val="00397B47"/>
    <w:rsid w:val="00397B81"/>
    <w:rsid w:val="003A01D7"/>
    <w:rsid w:val="003A08FD"/>
    <w:rsid w:val="003A0F7F"/>
    <w:rsid w:val="003A1408"/>
    <w:rsid w:val="003A1585"/>
    <w:rsid w:val="003A19BA"/>
    <w:rsid w:val="003A1C37"/>
    <w:rsid w:val="003A2116"/>
    <w:rsid w:val="003A2C71"/>
    <w:rsid w:val="003A3801"/>
    <w:rsid w:val="003A41E1"/>
    <w:rsid w:val="003A551F"/>
    <w:rsid w:val="003A5587"/>
    <w:rsid w:val="003A5778"/>
    <w:rsid w:val="003A5AFF"/>
    <w:rsid w:val="003A5CA5"/>
    <w:rsid w:val="003A637D"/>
    <w:rsid w:val="003A6B65"/>
    <w:rsid w:val="003A77CE"/>
    <w:rsid w:val="003A7927"/>
    <w:rsid w:val="003A7FF1"/>
    <w:rsid w:val="003B04D6"/>
    <w:rsid w:val="003B0535"/>
    <w:rsid w:val="003B247F"/>
    <w:rsid w:val="003B28A9"/>
    <w:rsid w:val="003B2C12"/>
    <w:rsid w:val="003B2D9A"/>
    <w:rsid w:val="003B2DFA"/>
    <w:rsid w:val="003B35DC"/>
    <w:rsid w:val="003B3F6A"/>
    <w:rsid w:val="003B43C5"/>
    <w:rsid w:val="003B43D0"/>
    <w:rsid w:val="003B4B18"/>
    <w:rsid w:val="003B5A5C"/>
    <w:rsid w:val="003B6202"/>
    <w:rsid w:val="003B7773"/>
    <w:rsid w:val="003C173A"/>
    <w:rsid w:val="003C249E"/>
    <w:rsid w:val="003C25ED"/>
    <w:rsid w:val="003C28E3"/>
    <w:rsid w:val="003C290C"/>
    <w:rsid w:val="003C2B81"/>
    <w:rsid w:val="003C3608"/>
    <w:rsid w:val="003C48C5"/>
    <w:rsid w:val="003C5595"/>
    <w:rsid w:val="003C6910"/>
    <w:rsid w:val="003C6C5C"/>
    <w:rsid w:val="003C723F"/>
    <w:rsid w:val="003C7B10"/>
    <w:rsid w:val="003C7C75"/>
    <w:rsid w:val="003C7DC8"/>
    <w:rsid w:val="003D0325"/>
    <w:rsid w:val="003D07A4"/>
    <w:rsid w:val="003D0959"/>
    <w:rsid w:val="003D1CA1"/>
    <w:rsid w:val="003D1DBF"/>
    <w:rsid w:val="003D30D9"/>
    <w:rsid w:val="003D424C"/>
    <w:rsid w:val="003D5C41"/>
    <w:rsid w:val="003D6014"/>
    <w:rsid w:val="003D6A6C"/>
    <w:rsid w:val="003D71D5"/>
    <w:rsid w:val="003D7907"/>
    <w:rsid w:val="003E082C"/>
    <w:rsid w:val="003E2C13"/>
    <w:rsid w:val="003E327A"/>
    <w:rsid w:val="003E3F1C"/>
    <w:rsid w:val="003E4909"/>
    <w:rsid w:val="003E4BF9"/>
    <w:rsid w:val="003E533F"/>
    <w:rsid w:val="003E5459"/>
    <w:rsid w:val="003E6F24"/>
    <w:rsid w:val="003E7753"/>
    <w:rsid w:val="003F06CE"/>
    <w:rsid w:val="003F1AC1"/>
    <w:rsid w:val="003F1D9C"/>
    <w:rsid w:val="003F216C"/>
    <w:rsid w:val="003F2504"/>
    <w:rsid w:val="003F41E5"/>
    <w:rsid w:val="003F537A"/>
    <w:rsid w:val="003F7083"/>
    <w:rsid w:val="003F712E"/>
    <w:rsid w:val="003F7228"/>
    <w:rsid w:val="004001C4"/>
    <w:rsid w:val="004002D5"/>
    <w:rsid w:val="00400678"/>
    <w:rsid w:val="004016A8"/>
    <w:rsid w:val="004020A7"/>
    <w:rsid w:val="004022FF"/>
    <w:rsid w:val="00402D91"/>
    <w:rsid w:val="00402EC8"/>
    <w:rsid w:val="00404AE6"/>
    <w:rsid w:val="00404F61"/>
    <w:rsid w:val="00405208"/>
    <w:rsid w:val="00405780"/>
    <w:rsid w:val="00405AE7"/>
    <w:rsid w:val="00407650"/>
    <w:rsid w:val="0041035F"/>
    <w:rsid w:val="00411A6F"/>
    <w:rsid w:val="0041250A"/>
    <w:rsid w:val="00412F0E"/>
    <w:rsid w:val="00412FA2"/>
    <w:rsid w:val="004134B8"/>
    <w:rsid w:val="00413BA7"/>
    <w:rsid w:val="00413FBE"/>
    <w:rsid w:val="00414096"/>
    <w:rsid w:val="0041417D"/>
    <w:rsid w:val="004145E8"/>
    <w:rsid w:val="0041715B"/>
    <w:rsid w:val="0041727E"/>
    <w:rsid w:val="00417C3D"/>
    <w:rsid w:val="004200DC"/>
    <w:rsid w:val="0042041D"/>
    <w:rsid w:val="00421D60"/>
    <w:rsid w:val="00422998"/>
    <w:rsid w:val="0042322B"/>
    <w:rsid w:val="004237D3"/>
    <w:rsid w:val="00424730"/>
    <w:rsid w:val="00425487"/>
    <w:rsid w:val="00425768"/>
    <w:rsid w:val="00426071"/>
    <w:rsid w:val="00426B2B"/>
    <w:rsid w:val="0042724E"/>
    <w:rsid w:val="0042747B"/>
    <w:rsid w:val="004274F7"/>
    <w:rsid w:val="00427EB8"/>
    <w:rsid w:val="004303C8"/>
    <w:rsid w:val="004306C6"/>
    <w:rsid w:val="00430A9F"/>
    <w:rsid w:val="00430E80"/>
    <w:rsid w:val="004318BD"/>
    <w:rsid w:val="00431B4A"/>
    <w:rsid w:val="00431EE0"/>
    <w:rsid w:val="00434085"/>
    <w:rsid w:val="0043481C"/>
    <w:rsid w:val="00434DAE"/>
    <w:rsid w:val="00436117"/>
    <w:rsid w:val="004369F4"/>
    <w:rsid w:val="00437834"/>
    <w:rsid w:val="0044045E"/>
    <w:rsid w:val="004417CE"/>
    <w:rsid w:val="00441DFF"/>
    <w:rsid w:val="00441E4B"/>
    <w:rsid w:val="00441FF8"/>
    <w:rsid w:val="004420BE"/>
    <w:rsid w:val="00442223"/>
    <w:rsid w:val="00442A10"/>
    <w:rsid w:val="00444CB8"/>
    <w:rsid w:val="00444F9C"/>
    <w:rsid w:val="004456A8"/>
    <w:rsid w:val="0044592F"/>
    <w:rsid w:val="00447763"/>
    <w:rsid w:val="00451372"/>
    <w:rsid w:val="0045230B"/>
    <w:rsid w:val="00452688"/>
    <w:rsid w:val="004527BF"/>
    <w:rsid w:val="00452C17"/>
    <w:rsid w:val="00453161"/>
    <w:rsid w:val="0045351E"/>
    <w:rsid w:val="004549B1"/>
    <w:rsid w:val="004549FD"/>
    <w:rsid w:val="00454CCE"/>
    <w:rsid w:val="00455532"/>
    <w:rsid w:val="0045563F"/>
    <w:rsid w:val="00455C2E"/>
    <w:rsid w:val="004573A2"/>
    <w:rsid w:val="00462169"/>
    <w:rsid w:val="004622BD"/>
    <w:rsid w:val="00463086"/>
    <w:rsid w:val="00464A39"/>
    <w:rsid w:val="00464AEC"/>
    <w:rsid w:val="00465355"/>
    <w:rsid w:val="00465AB9"/>
    <w:rsid w:val="0046615B"/>
    <w:rsid w:val="00467072"/>
    <w:rsid w:val="004705DE"/>
    <w:rsid w:val="0047104D"/>
    <w:rsid w:val="00471846"/>
    <w:rsid w:val="004727E6"/>
    <w:rsid w:val="004733C0"/>
    <w:rsid w:val="00473D00"/>
    <w:rsid w:val="004740C1"/>
    <w:rsid w:val="00475720"/>
    <w:rsid w:val="0047642E"/>
    <w:rsid w:val="00480895"/>
    <w:rsid w:val="004810A0"/>
    <w:rsid w:val="004810B4"/>
    <w:rsid w:val="004815C5"/>
    <w:rsid w:val="004826B0"/>
    <w:rsid w:val="00482C1C"/>
    <w:rsid w:val="004833D1"/>
    <w:rsid w:val="004841D8"/>
    <w:rsid w:val="004844BC"/>
    <w:rsid w:val="00484B03"/>
    <w:rsid w:val="00484E0C"/>
    <w:rsid w:val="004850BB"/>
    <w:rsid w:val="004857C7"/>
    <w:rsid w:val="00485B26"/>
    <w:rsid w:val="0048625B"/>
    <w:rsid w:val="00486E42"/>
    <w:rsid w:val="00491BEA"/>
    <w:rsid w:val="0049390B"/>
    <w:rsid w:val="00493ECB"/>
    <w:rsid w:val="004942FF"/>
    <w:rsid w:val="00494811"/>
    <w:rsid w:val="00494D34"/>
    <w:rsid w:val="004A11A9"/>
    <w:rsid w:val="004A1246"/>
    <w:rsid w:val="004A1C10"/>
    <w:rsid w:val="004A3237"/>
    <w:rsid w:val="004A3FDA"/>
    <w:rsid w:val="004A41C3"/>
    <w:rsid w:val="004A577B"/>
    <w:rsid w:val="004A5A85"/>
    <w:rsid w:val="004A6971"/>
    <w:rsid w:val="004B037E"/>
    <w:rsid w:val="004B1AD1"/>
    <w:rsid w:val="004B2318"/>
    <w:rsid w:val="004B3072"/>
    <w:rsid w:val="004B3BF2"/>
    <w:rsid w:val="004B454D"/>
    <w:rsid w:val="004B4B3A"/>
    <w:rsid w:val="004B4B40"/>
    <w:rsid w:val="004B4D3E"/>
    <w:rsid w:val="004B5AD3"/>
    <w:rsid w:val="004B5EB0"/>
    <w:rsid w:val="004B69AE"/>
    <w:rsid w:val="004B7AAF"/>
    <w:rsid w:val="004C12FC"/>
    <w:rsid w:val="004C1579"/>
    <w:rsid w:val="004C1794"/>
    <w:rsid w:val="004C238A"/>
    <w:rsid w:val="004C3D59"/>
    <w:rsid w:val="004C4B67"/>
    <w:rsid w:val="004C4F0D"/>
    <w:rsid w:val="004C4F72"/>
    <w:rsid w:val="004C5840"/>
    <w:rsid w:val="004C596A"/>
    <w:rsid w:val="004C5BBB"/>
    <w:rsid w:val="004C5E9A"/>
    <w:rsid w:val="004C5F6B"/>
    <w:rsid w:val="004C7F22"/>
    <w:rsid w:val="004D1474"/>
    <w:rsid w:val="004D3510"/>
    <w:rsid w:val="004D3B1F"/>
    <w:rsid w:val="004D41AF"/>
    <w:rsid w:val="004D4910"/>
    <w:rsid w:val="004D4B15"/>
    <w:rsid w:val="004D67E3"/>
    <w:rsid w:val="004D6915"/>
    <w:rsid w:val="004D740D"/>
    <w:rsid w:val="004D78F9"/>
    <w:rsid w:val="004D7D74"/>
    <w:rsid w:val="004E1A05"/>
    <w:rsid w:val="004E388A"/>
    <w:rsid w:val="004E5A9F"/>
    <w:rsid w:val="004E5DD6"/>
    <w:rsid w:val="004E5FC8"/>
    <w:rsid w:val="004F0B55"/>
    <w:rsid w:val="004F0DC3"/>
    <w:rsid w:val="004F2AC7"/>
    <w:rsid w:val="004F38F1"/>
    <w:rsid w:val="004F3BBA"/>
    <w:rsid w:val="004F58C6"/>
    <w:rsid w:val="004F647B"/>
    <w:rsid w:val="004F746D"/>
    <w:rsid w:val="004F76D2"/>
    <w:rsid w:val="004F7FC5"/>
    <w:rsid w:val="004F7FD0"/>
    <w:rsid w:val="00500CFB"/>
    <w:rsid w:val="0050176E"/>
    <w:rsid w:val="00502221"/>
    <w:rsid w:val="0050278A"/>
    <w:rsid w:val="00502C67"/>
    <w:rsid w:val="00502D39"/>
    <w:rsid w:val="005039FC"/>
    <w:rsid w:val="00504570"/>
    <w:rsid w:val="00505A0F"/>
    <w:rsid w:val="00505E0A"/>
    <w:rsid w:val="00506631"/>
    <w:rsid w:val="005069A1"/>
    <w:rsid w:val="00506A78"/>
    <w:rsid w:val="00506AA5"/>
    <w:rsid w:val="00510ED5"/>
    <w:rsid w:val="00511741"/>
    <w:rsid w:val="00511CE7"/>
    <w:rsid w:val="005120EF"/>
    <w:rsid w:val="0051222A"/>
    <w:rsid w:val="00512A7B"/>
    <w:rsid w:val="00512F81"/>
    <w:rsid w:val="0051453D"/>
    <w:rsid w:val="0051504D"/>
    <w:rsid w:val="00515D63"/>
    <w:rsid w:val="005163DC"/>
    <w:rsid w:val="005166AB"/>
    <w:rsid w:val="005179FB"/>
    <w:rsid w:val="005203F0"/>
    <w:rsid w:val="00520A98"/>
    <w:rsid w:val="00520CAD"/>
    <w:rsid w:val="00521298"/>
    <w:rsid w:val="00521B35"/>
    <w:rsid w:val="00521D9B"/>
    <w:rsid w:val="00522E83"/>
    <w:rsid w:val="00523094"/>
    <w:rsid w:val="00523431"/>
    <w:rsid w:val="00525116"/>
    <w:rsid w:val="0052535C"/>
    <w:rsid w:val="005254F3"/>
    <w:rsid w:val="005262EE"/>
    <w:rsid w:val="005264B0"/>
    <w:rsid w:val="005265A6"/>
    <w:rsid w:val="0052793A"/>
    <w:rsid w:val="005300B4"/>
    <w:rsid w:val="005307EF"/>
    <w:rsid w:val="0053317A"/>
    <w:rsid w:val="005331C6"/>
    <w:rsid w:val="00533531"/>
    <w:rsid w:val="00533D0B"/>
    <w:rsid w:val="005344A3"/>
    <w:rsid w:val="00534E0C"/>
    <w:rsid w:val="00536684"/>
    <w:rsid w:val="00536C2D"/>
    <w:rsid w:val="0053729B"/>
    <w:rsid w:val="005372B9"/>
    <w:rsid w:val="005376B2"/>
    <w:rsid w:val="00537CEB"/>
    <w:rsid w:val="00537EA3"/>
    <w:rsid w:val="00540542"/>
    <w:rsid w:val="00542449"/>
    <w:rsid w:val="00545D72"/>
    <w:rsid w:val="00546046"/>
    <w:rsid w:val="005465AB"/>
    <w:rsid w:val="00546EE0"/>
    <w:rsid w:val="005472DD"/>
    <w:rsid w:val="00547D95"/>
    <w:rsid w:val="00550154"/>
    <w:rsid w:val="005505CC"/>
    <w:rsid w:val="00551F15"/>
    <w:rsid w:val="00551FC0"/>
    <w:rsid w:val="005522D8"/>
    <w:rsid w:val="00552C29"/>
    <w:rsid w:val="005532BF"/>
    <w:rsid w:val="0055420C"/>
    <w:rsid w:val="00554DA8"/>
    <w:rsid w:val="0055566E"/>
    <w:rsid w:val="00555E50"/>
    <w:rsid w:val="00556BF0"/>
    <w:rsid w:val="00557F26"/>
    <w:rsid w:val="00561612"/>
    <w:rsid w:val="00561617"/>
    <w:rsid w:val="005630E0"/>
    <w:rsid w:val="00563C1B"/>
    <w:rsid w:val="00563C30"/>
    <w:rsid w:val="0056455E"/>
    <w:rsid w:val="0056563C"/>
    <w:rsid w:val="005662D5"/>
    <w:rsid w:val="00566FC0"/>
    <w:rsid w:val="005678D3"/>
    <w:rsid w:val="00567F9D"/>
    <w:rsid w:val="00570DA4"/>
    <w:rsid w:val="00571922"/>
    <w:rsid w:val="005722B3"/>
    <w:rsid w:val="00573508"/>
    <w:rsid w:val="00574281"/>
    <w:rsid w:val="00574606"/>
    <w:rsid w:val="005749FF"/>
    <w:rsid w:val="00575509"/>
    <w:rsid w:val="00575DD2"/>
    <w:rsid w:val="00576501"/>
    <w:rsid w:val="00577638"/>
    <w:rsid w:val="00580E64"/>
    <w:rsid w:val="00581431"/>
    <w:rsid w:val="0058195A"/>
    <w:rsid w:val="00581A30"/>
    <w:rsid w:val="0058318F"/>
    <w:rsid w:val="00583ED9"/>
    <w:rsid w:val="005849C1"/>
    <w:rsid w:val="00584EBC"/>
    <w:rsid w:val="00586824"/>
    <w:rsid w:val="00591E74"/>
    <w:rsid w:val="00594A16"/>
    <w:rsid w:val="00594F54"/>
    <w:rsid w:val="00595276"/>
    <w:rsid w:val="00595627"/>
    <w:rsid w:val="00595CA4"/>
    <w:rsid w:val="005966EA"/>
    <w:rsid w:val="00596BC7"/>
    <w:rsid w:val="005A03EF"/>
    <w:rsid w:val="005A2EB5"/>
    <w:rsid w:val="005A2FE3"/>
    <w:rsid w:val="005A37B7"/>
    <w:rsid w:val="005A3F50"/>
    <w:rsid w:val="005A4C9B"/>
    <w:rsid w:val="005A5255"/>
    <w:rsid w:val="005A52BC"/>
    <w:rsid w:val="005A58E9"/>
    <w:rsid w:val="005A6F8A"/>
    <w:rsid w:val="005B102F"/>
    <w:rsid w:val="005B106D"/>
    <w:rsid w:val="005B1896"/>
    <w:rsid w:val="005B23B5"/>
    <w:rsid w:val="005B3FBE"/>
    <w:rsid w:val="005B4FF4"/>
    <w:rsid w:val="005B5561"/>
    <w:rsid w:val="005B5FD7"/>
    <w:rsid w:val="005B62CD"/>
    <w:rsid w:val="005B68BB"/>
    <w:rsid w:val="005B73F1"/>
    <w:rsid w:val="005C0E16"/>
    <w:rsid w:val="005C0FDD"/>
    <w:rsid w:val="005C1459"/>
    <w:rsid w:val="005C361A"/>
    <w:rsid w:val="005C50B3"/>
    <w:rsid w:val="005C50D6"/>
    <w:rsid w:val="005C6801"/>
    <w:rsid w:val="005D041D"/>
    <w:rsid w:val="005D14FB"/>
    <w:rsid w:val="005D242E"/>
    <w:rsid w:val="005D4470"/>
    <w:rsid w:val="005D59E5"/>
    <w:rsid w:val="005D688B"/>
    <w:rsid w:val="005D6BFF"/>
    <w:rsid w:val="005D6F27"/>
    <w:rsid w:val="005D7103"/>
    <w:rsid w:val="005D7B73"/>
    <w:rsid w:val="005D7EDE"/>
    <w:rsid w:val="005E12FF"/>
    <w:rsid w:val="005E2542"/>
    <w:rsid w:val="005E2989"/>
    <w:rsid w:val="005E47F3"/>
    <w:rsid w:val="005E71E2"/>
    <w:rsid w:val="005E75DF"/>
    <w:rsid w:val="005E7A21"/>
    <w:rsid w:val="005F07C3"/>
    <w:rsid w:val="005F0DAB"/>
    <w:rsid w:val="005F0F61"/>
    <w:rsid w:val="005F2041"/>
    <w:rsid w:val="005F2FC1"/>
    <w:rsid w:val="005F3150"/>
    <w:rsid w:val="005F3430"/>
    <w:rsid w:val="005F4879"/>
    <w:rsid w:val="005F4938"/>
    <w:rsid w:val="005F4BA5"/>
    <w:rsid w:val="005F50CC"/>
    <w:rsid w:val="005F51E0"/>
    <w:rsid w:val="005F5E55"/>
    <w:rsid w:val="005F6308"/>
    <w:rsid w:val="005F6671"/>
    <w:rsid w:val="005F6EA6"/>
    <w:rsid w:val="005F70D2"/>
    <w:rsid w:val="005F74B6"/>
    <w:rsid w:val="005F77F9"/>
    <w:rsid w:val="00600C9B"/>
    <w:rsid w:val="00600EB9"/>
    <w:rsid w:val="0060114A"/>
    <w:rsid w:val="006028BD"/>
    <w:rsid w:val="006029C8"/>
    <w:rsid w:val="00603665"/>
    <w:rsid w:val="00603A85"/>
    <w:rsid w:val="00603BB0"/>
    <w:rsid w:val="00604F2B"/>
    <w:rsid w:val="00605CAB"/>
    <w:rsid w:val="0060650E"/>
    <w:rsid w:val="00606963"/>
    <w:rsid w:val="00607FB9"/>
    <w:rsid w:val="00607FF5"/>
    <w:rsid w:val="006102FB"/>
    <w:rsid w:val="006103FD"/>
    <w:rsid w:val="00610E68"/>
    <w:rsid w:val="0061155E"/>
    <w:rsid w:val="006115C2"/>
    <w:rsid w:val="00612544"/>
    <w:rsid w:val="00613303"/>
    <w:rsid w:val="00614915"/>
    <w:rsid w:val="00614FEC"/>
    <w:rsid w:val="00616F8B"/>
    <w:rsid w:val="00617F7F"/>
    <w:rsid w:val="0062086F"/>
    <w:rsid w:val="00620B45"/>
    <w:rsid w:val="00620F47"/>
    <w:rsid w:val="00621519"/>
    <w:rsid w:val="00621E2C"/>
    <w:rsid w:val="006221AC"/>
    <w:rsid w:val="00622ADE"/>
    <w:rsid w:val="00623C6E"/>
    <w:rsid w:val="00625346"/>
    <w:rsid w:val="006253B4"/>
    <w:rsid w:val="00626A4A"/>
    <w:rsid w:val="00626EF6"/>
    <w:rsid w:val="0062775E"/>
    <w:rsid w:val="00627E59"/>
    <w:rsid w:val="0063005D"/>
    <w:rsid w:val="006301E2"/>
    <w:rsid w:val="006308B9"/>
    <w:rsid w:val="00630EB1"/>
    <w:rsid w:val="006318D4"/>
    <w:rsid w:val="006324D6"/>
    <w:rsid w:val="006326E4"/>
    <w:rsid w:val="0063333F"/>
    <w:rsid w:val="00633BE3"/>
    <w:rsid w:val="00635F0D"/>
    <w:rsid w:val="00636697"/>
    <w:rsid w:val="00636FB0"/>
    <w:rsid w:val="00640CA0"/>
    <w:rsid w:val="00641A25"/>
    <w:rsid w:val="00642626"/>
    <w:rsid w:val="00643174"/>
    <w:rsid w:val="006439B6"/>
    <w:rsid w:val="00643B55"/>
    <w:rsid w:val="006451FF"/>
    <w:rsid w:val="00645DCA"/>
    <w:rsid w:val="00650C17"/>
    <w:rsid w:val="00650DCB"/>
    <w:rsid w:val="006516A5"/>
    <w:rsid w:val="0065240B"/>
    <w:rsid w:val="00652E2B"/>
    <w:rsid w:val="00652E66"/>
    <w:rsid w:val="0065370E"/>
    <w:rsid w:val="00653A11"/>
    <w:rsid w:val="0065405E"/>
    <w:rsid w:val="0065422E"/>
    <w:rsid w:val="00654401"/>
    <w:rsid w:val="0065452B"/>
    <w:rsid w:val="0065494C"/>
    <w:rsid w:val="00654A98"/>
    <w:rsid w:val="00654F9D"/>
    <w:rsid w:val="00655680"/>
    <w:rsid w:val="00657BAE"/>
    <w:rsid w:val="0066081C"/>
    <w:rsid w:val="00660B8B"/>
    <w:rsid w:val="00660BA8"/>
    <w:rsid w:val="00660DE9"/>
    <w:rsid w:val="00661462"/>
    <w:rsid w:val="00661917"/>
    <w:rsid w:val="00661E0A"/>
    <w:rsid w:val="006623AD"/>
    <w:rsid w:val="00662C71"/>
    <w:rsid w:val="00662C79"/>
    <w:rsid w:val="00663013"/>
    <w:rsid w:val="00663185"/>
    <w:rsid w:val="006635CF"/>
    <w:rsid w:val="00664AE2"/>
    <w:rsid w:val="00665882"/>
    <w:rsid w:val="00665AB2"/>
    <w:rsid w:val="00665C11"/>
    <w:rsid w:val="006664A6"/>
    <w:rsid w:val="006668A6"/>
    <w:rsid w:val="00666E66"/>
    <w:rsid w:val="00667C99"/>
    <w:rsid w:val="0067087C"/>
    <w:rsid w:val="0067277C"/>
    <w:rsid w:val="00672F0F"/>
    <w:rsid w:val="006731A4"/>
    <w:rsid w:val="006733D2"/>
    <w:rsid w:val="00673501"/>
    <w:rsid w:val="00674B91"/>
    <w:rsid w:val="006755D7"/>
    <w:rsid w:val="0067598B"/>
    <w:rsid w:val="0067633B"/>
    <w:rsid w:val="0067672D"/>
    <w:rsid w:val="00676755"/>
    <w:rsid w:val="00677231"/>
    <w:rsid w:val="00677D4B"/>
    <w:rsid w:val="00681547"/>
    <w:rsid w:val="00681731"/>
    <w:rsid w:val="00681FED"/>
    <w:rsid w:val="00682DBD"/>
    <w:rsid w:val="00683B12"/>
    <w:rsid w:val="00683B4E"/>
    <w:rsid w:val="00683DCB"/>
    <w:rsid w:val="00684540"/>
    <w:rsid w:val="0068580F"/>
    <w:rsid w:val="006858E8"/>
    <w:rsid w:val="00685C5A"/>
    <w:rsid w:val="00685F55"/>
    <w:rsid w:val="006867EA"/>
    <w:rsid w:val="006870BF"/>
    <w:rsid w:val="00687892"/>
    <w:rsid w:val="00691937"/>
    <w:rsid w:val="00691E8B"/>
    <w:rsid w:val="00694016"/>
    <w:rsid w:val="00695BDB"/>
    <w:rsid w:val="00697C3E"/>
    <w:rsid w:val="00697D74"/>
    <w:rsid w:val="006A150A"/>
    <w:rsid w:val="006A1D6A"/>
    <w:rsid w:val="006A1DB7"/>
    <w:rsid w:val="006A1F20"/>
    <w:rsid w:val="006A225B"/>
    <w:rsid w:val="006A24E2"/>
    <w:rsid w:val="006A2ED5"/>
    <w:rsid w:val="006A2FCB"/>
    <w:rsid w:val="006A3095"/>
    <w:rsid w:val="006A5503"/>
    <w:rsid w:val="006A6C56"/>
    <w:rsid w:val="006A6F5B"/>
    <w:rsid w:val="006A7083"/>
    <w:rsid w:val="006A789F"/>
    <w:rsid w:val="006A7E85"/>
    <w:rsid w:val="006B03A8"/>
    <w:rsid w:val="006B0737"/>
    <w:rsid w:val="006B0AEA"/>
    <w:rsid w:val="006B0F29"/>
    <w:rsid w:val="006B1FC6"/>
    <w:rsid w:val="006B3943"/>
    <w:rsid w:val="006B4647"/>
    <w:rsid w:val="006B672D"/>
    <w:rsid w:val="006B69B9"/>
    <w:rsid w:val="006B6CE8"/>
    <w:rsid w:val="006B717C"/>
    <w:rsid w:val="006B7A0B"/>
    <w:rsid w:val="006B7AAB"/>
    <w:rsid w:val="006B7B1A"/>
    <w:rsid w:val="006B7CE1"/>
    <w:rsid w:val="006B7E1B"/>
    <w:rsid w:val="006C0387"/>
    <w:rsid w:val="006C0D89"/>
    <w:rsid w:val="006C0D8E"/>
    <w:rsid w:val="006C296A"/>
    <w:rsid w:val="006C2CB4"/>
    <w:rsid w:val="006C2D2A"/>
    <w:rsid w:val="006C2EA8"/>
    <w:rsid w:val="006C31DD"/>
    <w:rsid w:val="006C4883"/>
    <w:rsid w:val="006C4A61"/>
    <w:rsid w:val="006C4BFC"/>
    <w:rsid w:val="006C5583"/>
    <w:rsid w:val="006C5EDB"/>
    <w:rsid w:val="006C6EF1"/>
    <w:rsid w:val="006D18F6"/>
    <w:rsid w:val="006D1DA6"/>
    <w:rsid w:val="006D1FF8"/>
    <w:rsid w:val="006D2395"/>
    <w:rsid w:val="006D2596"/>
    <w:rsid w:val="006D2760"/>
    <w:rsid w:val="006D2B56"/>
    <w:rsid w:val="006D45EC"/>
    <w:rsid w:val="006D4606"/>
    <w:rsid w:val="006D4ED5"/>
    <w:rsid w:val="006D7D25"/>
    <w:rsid w:val="006E00CE"/>
    <w:rsid w:val="006E13D2"/>
    <w:rsid w:val="006E2AFB"/>
    <w:rsid w:val="006E409B"/>
    <w:rsid w:val="006E4561"/>
    <w:rsid w:val="006E516C"/>
    <w:rsid w:val="006E52AA"/>
    <w:rsid w:val="006E64FF"/>
    <w:rsid w:val="006E6964"/>
    <w:rsid w:val="006E6E26"/>
    <w:rsid w:val="006E7714"/>
    <w:rsid w:val="006E7FA0"/>
    <w:rsid w:val="006F033A"/>
    <w:rsid w:val="006F0B80"/>
    <w:rsid w:val="006F0D7D"/>
    <w:rsid w:val="006F101E"/>
    <w:rsid w:val="006F1AEA"/>
    <w:rsid w:val="006F2B45"/>
    <w:rsid w:val="006F2C05"/>
    <w:rsid w:val="006F32B9"/>
    <w:rsid w:val="006F4F04"/>
    <w:rsid w:val="006F5AA8"/>
    <w:rsid w:val="006F5B8B"/>
    <w:rsid w:val="006F5D1E"/>
    <w:rsid w:val="006F7875"/>
    <w:rsid w:val="006F7F14"/>
    <w:rsid w:val="00700CB1"/>
    <w:rsid w:val="0070105F"/>
    <w:rsid w:val="007013F0"/>
    <w:rsid w:val="007016E1"/>
    <w:rsid w:val="0070217F"/>
    <w:rsid w:val="00702399"/>
    <w:rsid w:val="007037BF"/>
    <w:rsid w:val="00704488"/>
    <w:rsid w:val="00704720"/>
    <w:rsid w:val="0070558E"/>
    <w:rsid w:val="00705E01"/>
    <w:rsid w:val="00705FCE"/>
    <w:rsid w:val="00706623"/>
    <w:rsid w:val="00707535"/>
    <w:rsid w:val="007075F2"/>
    <w:rsid w:val="00707EAB"/>
    <w:rsid w:val="0071040B"/>
    <w:rsid w:val="00710548"/>
    <w:rsid w:val="007112D8"/>
    <w:rsid w:val="00711CAB"/>
    <w:rsid w:val="00711DEA"/>
    <w:rsid w:val="007130B4"/>
    <w:rsid w:val="00713241"/>
    <w:rsid w:val="007137F0"/>
    <w:rsid w:val="0071613F"/>
    <w:rsid w:val="00716264"/>
    <w:rsid w:val="007164FD"/>
    <w:rsid w:val="007170FA"/>
    <w:rsid w:val="007178D5"/>
    <w:rsid w:val="00717DD4"/>
    <w:rsid w:val="007208AE"/>
    <w:rsid w:val="00721062"/>
    <w:rsid w:val="0072251F"/>
    <w:rsid w:val="00722867"/>
    <w:rsid w:val="00722F1B"/>
    <w:rsid w:val="007235BF"/>
    <w:rsid w:val="00723E8D"/>
    <w:rsid w:val="00724BDF"/>
    <w:rsid w:val="00725BD7"/>
    <w:rsid w:val="0072695A"/>
    <w:rsid w:val="0072746E"/>
    <w:rsid w:val="007302E7"/>
    <w:rsid w:val="007303FC"/>
    <w:rsid w:val="007335FE"/>
    <w:rsid w:val="00733B08"/>
    <w:rsid w:val="0073444A"/>
    <w:rsid w:val="00734AF5"/>
    <w:rsid w:val="00734D14"/>
    <w:rsid w:val="0073568C"/>
    <w:rsid w:val="00735A0B"/>
    <w:rsid w:val="0073667F"/>
    <w:rsid w:val="00736682"/>
    <w:rsid w:val="00737391"/>
    <w:rsid w:val="007401E0"/>
    <w:rsid w:val="00741908"/>
    <w:rsid w:val="00741D9A"/>
    <w:rsid w:val="0074291D"/>
    <w:rsid w:val="00743098"/>
    <w:rsid w:val="007435EB"/>
    <w:rsid w:val="00743B67"/>
    <w:rsid w:val="0074413D"/>
    <w:rsid w:val="007469F7"/>
    <w:rsid w:val="0074709F"/>
    <w:rsid w:val="007471CA"/>
    <w:rsid w:val="0075043C"/>
    <w:rsid w:val="0075218C"/>
    <w:rsid w:val="00752562"/>
    <w:rsid w:val="00752799"/>
    <w:rsid w:val="00753353"/>
    <w:rsid w:val="00753D2B"/>
    <w:rsid w:val="00753DE9"/>
    <w:rsid w:val="00754A59"/>
    <w:rsid w:val="007554AB"/>
    <w:rsid w:val="007556F3"/>
    <w:rsid w:val="00755895"/>
    <w:rsid w:val="00755D02"/>
    <w:rsid w:val="00757D56"/>
    <w:rsid w:val="007603A9"/>
    <w:rsid w:val="0076051B"/>
    <w:rsid w:val="00760769"/>
    <w:rsid w:val="007609A4"/>
    <w:rsid w:val="007616B7"/>
    <w:rsid w:val="007616D7"/>
    <w:rsid w:val="00762C42"/>
    <w:rsid w:val="00763992"/>
    <w:rsid w:val="00764545"/>
    <w:rsid w:val="00764576"/>
    <w:rsid w:val="00765976"/>
    <w:rsid w:val="007663F9"/>
    <w:rsid w:val="00766465"/>
    <w:rsid w:val="00766FA0"/>
    <w:rsid w:val="00767914"/>
    <w:rsid w:val="007706AF"/>
    <w:rsid w:val="00770CCC"/>
    <w:rsid w:val="00770FA9"/>
    <w:rsid w:val="007713E0"/>
    <w:rsid w:val="00771694"/>
    <w:rsid w:val="00771775"/>
    <w:rsid w:val="00772E81"/>
    <w:rsid w:val="00774B4D"/>
    <w:rsid w:val="00774D3B"/>
    <w:rsid w:val="007759BC"/>
    <w:rsid w:val="00776C55"/>
    <w:rsid w:val="007808A4"/>
    <w:rsid w:val="00780E11"/>
    <w:rsid w:val="0078187E"/>
    <w:rsid w:val="00781899"/>
    <w:rsid w:val="00781D90"/>
    <w:rsid w:val="00782893"/>
    <w:rsid w:val="00783179"/>
    <w:rsid w:val="00784828"/>
    <w:rsid w:val="0078593C"/>
    <w:rsid w:val="00785C4D"/>
    <w:rsid w:val="0078646A"/>
    <w:rsid w:val="00786648"/>
    <w:rsid w:val="00786841"/>
    <w:rsid w:val="007870F4"/>
    <w:rsid w:val="00790125"/>
    <w:rsid w:val="00790490"/>
    <w:rsid w:val="00790F27"/>
    <w:rsid w:val="00791657"/>
    <w:rsid w:val="007922E8"/>
    <w:rsid w:val="00792E80"/>
    <w:rsid w:val="0079340F"/>
    <w:rsid w:val="00794FB6"/>
    <w:rsid w:val="00795E6A"/>
    <w:rsid w:val="00796D9A"/>
    <w:rsid w:val="0079796B"/>
    <w:rsid w:val="00797A2F"/>
    <w:rsid w:val="007A0131"/>
    <w:rsid w:val="007A37C6"/>
    <w:rsid w:val="007A3B89"/>
    <w:rsid w:val="007A4095"/>
    <w:rsid w:val="007A493F"/>
    <w:rsid w:val="007A5539"/>
    <w:rsid w:val="007A561F"/>
    <w:rsid w:val="007A5C58"/>
    <w:rsid w:val="007A71C1"/>
    <w:rsid w:val="007B0CB3"/>
    <w:rsid w:val="007B15FF"/>
    <w:rsid w:val="007B1C07"/>
    <w:rsid w:val="007B1D9B"/>
    <w:rsid w:val="007B3018"/>
    <w:rsid w:val="007B4347"/>
    <w:rsid w:val="007B5037"/>
    <w:rsid w:val="007B537F"/>
    <w:rsid w:val="007B5A3F"/>
    <w:rsid w:val="007B7DD1"/>
    <w:rsid w:val="007C0D67"/>
    <w:rsid w:val="007C245D"/>
    <w:rsid w:val="007C29E6"/>
    <w:rsid w:val="007C34E7"/>
    <w:rsid w:val="007C44FB"/>
    <w:rsid w:val="007C465A"/>
    <w:rsid w:val="007C484F"/>
    <w:rsid w:val="007C5146"/>
    <w:rsid w:val="007C5646"/>
    <w:rsid w:val="007C64E9"/>
    <w:rsid w:val="007D067F"/>
    <w:rsid w:val="007D182E"/>
    <w:rsid w:val="007D1D1A"/>
    <w:rsid w:val="007D2FAD"/>
    <w:rsid w:val="007D34D7"/>
    <w:rsid w:val="007D3F77"/>
    <w:rsid w:val="007D45FE"/>
    <w:rsid w:val="007D583A"/>
    <w:rsid w:val="007D5E3B"/>
    <w:rsid w:val="007D69C1"/>
    <w:rsid w:val="007D6E81"/>
    <w:rsid w:val="007D6F60"/>
    <w:rsid w:val="007D6FD6"/>
    <w:rsid w:val="007D70BC"/>
    <w:rsid w:val="007E062B"/>
    <w:rsid w:val="007E1046"/>
    <w:rsid w:val="007E24AA"/>
    <w:rsid w:val="007E29C8"/>
    <w:rsid w:val="007E57F0"/>
    <w:rsid w:val="007E6975"/>
    <w:rsid w:val="007E74D4"/>
    <w:rsid w:val="007E75C7"/>
    <w:rsid w:val="007F076D"/>
    <w:rsid w:val="007F10AC"/>
    <w:rsid w:val="007F1F58"/>
    <w:rsid w:val="007F3567"/>
    <w:rsid w:val="007F358A"/>
    <w:rsid w:val="007F3B79"/>
    <w:rsid w:val="007F472D"/>
    <w:rsid w:val="007F6C6D"/>
    <w:rsid w:val="00800271"/>
    <w:rsid w:val="008004A8"/>
    <w:rsid w:val="008013AF"/>
    <w:rsid w:val="0080317E"/>
    <w:rsid w:val="008033D7"/>
    <w:rsid w:val="00803F21"/>
    <w:rsid w:val="00804ADC"/>
    <w:rsid w:val="00805186"/>
    <w:rsid w:val="00805D2C"/>
    <w:rsid w:val="00805DCA"/>
    <w:rsid w:val="00811395"/>
    <w:rsid w:val="00812707"/>
    <w:rsid w:val="008127BD"/>
    <w:rsid w:val="0081328A"/>
    <w:rsid w:val="00814B7E"/>
    <w:rsid w:val="008157C7"/>
    <w:rsid w:val="00815F79"/>
    <w:rsid w:val="0081761D"/>
    <w:rsid w:val="00817880"/>
    <w:rsid w:val="008178FF"/>
    <w:rsid w:val="00820DD6"/>
    <w:rsid w:val="008212FB"/>
    <w:rsid w:val="00821FEE"/>
    <w:rsid w:val="008220E5"/>
    <w:rsid w:val="00822772"/>
    <w:rsid w:val="00822F22"/>
    <w:rsid w:val="008242E7"/>
    <w:rsid w:val="00825B29"/>
    <w:rsid w:val="008267F6"/>
    <w:rsid w:val="00826EB3"/>
    <w:rsid w:val="008270E8"/>
    <w:rsid w:val="00827446"/>
    <w:rsid w:val="00831182"/>
    <w:rsid w:val="008317DA"/>
    <w:rsid w:val="00832739"/>
    <w:rsid w:val="00832D9D"/>
    <w:rsid w:val="0083391F"/>
    <w:rsid w:val="00833C6E"/>
    <w:rsid w:val="00834028"/>
    <w:rsid w:val="00834C74"/>
    <w:rsid w:val="008352CA"/>
    <w:rsid w:val="00836FF4"/>
    <w:rsid w:val="00837898"/>
    <w:rsid w:val="0083790F"/>
    <w:rsid w:val="00837F18"/>
    <w:rsid w:val="00841C36"/>
    <w:rsid w:val="00842F74"/>
    <w:rsid w:val="008435E7"/>
    <w:rsid w:val="00846317"/>
    <w:rsid w:val="008469AC"/>
    <w:rsid w:val="00851964"/>
    <w:rsid w:val="00851AAE"/>
    <w:rsid w:val="008526CF"/>
    <w:rsid w:val="008526E3"/>
    <w:rsid w:val="008528ED"/>
    <w:rsid w:val="008547E9"/>
    <w:rsid w:val="00854B53"/>
    <w:rsid w:val="00854F41"/>
    <w:rsid w:val="008550D6"/>
    <w:rsid w:val="008566E9"/>
    <w:rsid w:val="008567D5"/>
    <w:rsid w:val="008602EA"/>
    <w:rsid w:val="0086271E"/>
    <w:rsid w:val="00862F68"/>
    <w:rsid w:val="00863F4A"/>
    <w:rsid w:val="008645DA"/>
    <w:rsid w:val="00864F22"/>
    <w:rsid w:val="008654F2"/>
    <w:rsid w:val="00866906"/>
    <w:rsid w:val="00867CF4"/>
    <w:rsid w:val="0087127D"/>
    <w:rsid w:val="00872219"/>
    <w:rsid w:val="00874181"/>
    <w:rsid w:val="00874BB3"/>
    <w:rsid w:val="0087721C"/>
    <w:rsid w:val="00877547"/>
    <w:rsid w:val="008803EC"/>
    <w:rsid w:val="008815DC"/>
    <w:rsid w:val="0088471C"/>
    <w:rsid w:val="0088608C"/>
    <w:rsid w:val="00886294"/>
    <w:rsid w:val="00886A04"/>
    <w:rsid w:val="00887E02"/>
    <w:rsid w:val="008903FC"/>
    <w:rsid w:val="008907DE"/>
    <w:rsid w:val="008910C4"/>
    <w:rsid w:val="00891152"/>
    <w:rsid w:val="00892589"/>
    <w:rsid w:val="00893141"/>
    <w:rsid w:val="00893CC4"/>
    <w:rsid w:val="00893CCA"/>
    <w:rsid w:val="00893E11"/>
    <w:rsid w:val="00893E21"/>
    <w:rsid w:val="0089412E"/>
    <w:rsid w:val="00894146"/>
    <w:rsid w:val="00894DCC"/>
    <w:rsid w:val="00895221"/>
    <w:rsid w:val="00896AC1"/>
    <w:rsid w:val="00897646"/>
    <w:rsid w:val="00897AB4"/>
    <w:rsid w:val="00897DF1"/>
    <w:rsid w:val="008A053C"/>
    <w:rsid w:val="008A0FCC"/>
    <w:rsid w:val="008A18F7"/>
    <w:rsid w:val="008A25E6"/>
    <w:rsid w:val="008A34D3"/>
    <w:rsid w:val="008A3748"/>
    <w:rsid w:val="008A4D14"/>
    <w:rsid w:val="008A4EA6"/>
    <w:rsid w:val="008A561B"/>
    <w:rsid w:val="008A563D"/>
    <w:rsid w:val="008A58BD"/>
    <w:rsid w:val="008A5A57"/>
    <w:rsid w:val="008A6813"/>
    <w:rsid w:val="008A7A3E"/>
    <w:rsid w:val="008B0BCD"/>
    <w:rsid w:val="008B0DB7"/>
    <w:rsid w:val="008B119E"/>
    <w:rsid w:val="008B17BD"/>
    <w:rsid w:val="008B264B"/>
    <w:rsid w:val="008B26A2"/>
    <w:rsid w:val="008B51B5"/>
    <w:rsid w:val="008B5320"/>
    <w:rsid w:val="008B6E5F"/>
    <w:rsid w:val="008B785E"/>
    <w:rsid w:val="008C0F1D"/>
    <w:rsid w:val="008C2126"/>
    <w:rsid w:val="008C5199"/>
    <w:rsid w:val="008C5F00"/>
    <w:rsid w:val="008C5FD9"/>
    <w:rsid w:val="008C63AA"/>
    <w:rsid w:val="008C643D"/>
    <w:rsid w:val="008C6F21"/>
    <w:rsid w:val="008C761F"/>
    <w:rsid w:val="008C7821"/>
    <w:rsid w:val="008C7B3C"/>
    <w:rsid w:val="008D1015"/>
    <w:rsid w:val="008D28F8"/>
    <w:rsid w:val="008D3F14"/>
    <w:rsid w:val="008D4CFB"/>
    <w:rsid w:val="008D69D8"/>
    <w:rsid w:val="008D7C28"/>
    <w:rsid w:val="008E33E0"/>
    <w:rsid w:val="008E35DB"/>
    <w:rsid w:val="008E3BD8"/>
    <w:rsid w:val="008E405E"/>
    <w:rsid w:val="008E4C9E"/>
    <w:rsid w:val="008E6854"/>
    <w:rsid w:val="008E693F"/>
    <w:rsid w:val="008E6A0B"/>
    <w:rsid w:val="008E73C1"/>
    <w:rsid w:val="008E77A6"/>
    <w:rsid w:val="008E79BF"/>
    <w:rsid w:val="008E7C82"/>
    <w:rsid w:val="008F157E"/>
    <w:rsid w:val="008F2F64"/>
    <w:rsid w:val="008F4061"/>
    <w:rsid w:val="008F4FF4"/>
    <w:rsid w:val="008F6CA8"/>
    <w:rsid w:val="008F7ACB"/>
    <w:rsid w:val="00900636"/>
    <w:rsid w:val="00902CCA"/>
    <w:rsid w:val="009035FB"/>
    <w:rsid w:val="00903ECE"/>
    <w:rsid w:val="00904389"/>
    <w:rsid w:val="009049E0"/>
    <w:rsid w:val="00904B24"/>
    <w:rsid w:val="00904C9F"/>
    <w:rsid w:val="00905124"/>
    <w:rsid w:val="0090544A"/>
    <w:rsid w:val="00906F03"/>
    <w:rsid w:val="009071F7"/>
    <w:rsid w:val="00907671"/>
    <w:rsid w:val="009079C3"/>
    <w:rsid w:val="00907BED"/>
    <w:rsid w:val="00907CF7"/>
    <w:rsid w:val="00907E2B"/>
    <w:rsid w:val="00910A6A"/>
    <w:rsid w:val="009117B8"/>
    <w:rsid w:val="009137DD"/>
    <w:rsid w:val="00913DB4"/>
    <w:rsid w:val="0091522C"/>
    <w:rsid w:val="00916991"/>
    <w:rsid w:val="00917316"/>
    <w:rsid w:val="009178A3"/>
    <w:rsid w:val="00917992"/>
    <w:rsid w:val="00917BB1"/>
    <w:rsid w:val="00917DC1"/>
    <w:rsid w:val="00917E26"/>
    <w:rsid w:val="00920330"/>
    <w:rsid w:val="009204C0"/>
    <w:rsid w:val="00920C20"/>
    <w:rsid w:val="00921222"/>
    <w:rsid w:val="00922C6F"/>
    <w:rsid w:val="00923AE1"/>
    <w:rsid w:val="00923C3E"/>
    <w:rsid w:val="00924C79"/>
    <w:rsid w:val="0092635B"/>
    <w:rsid w:val="00926DA8"/>
    <w:rsid w:val="0092705D"/>
    <w:rsid w:val="009302C0"/>
    <w:rsid w:val="009326B8"/>
    <w:rsid w:val="00934194"/>
    <w:rsid w:val="00935D66"/>
    <w:rsid w:val="009363C2"/>
    <w:rsid w:val="00937743"/>
    <w:rsid w:val="00937BD0"/>
    <w:rsid w:val="00937ED4"/>
    <w:rsid w:val="009401C7"/>
    <w:rsid w:val="00940558"/>
    <w:rsid w:val="009411D8"/>
    <w:rsid w:val="00941B41"/>
    <w:rsid w:val="0094204E"/>
    <w:rsid w:val="009431A6"/>
    <w:rsid w:val="009431A7"/>
    <w:rsid w:val="009432F5"/>
    <w:rsid w:val="00943305"/>
    <w:rsid w:val="00943FE3"/>
    <w:rsid w:val="0094405C"/>
    <w:rsid w:val="0094494E"/>
    <w:rsid w:val="00944E72"/>
    <w:rsid w:val="009460DF"/>
    <w:rsid w:val="00946962"/>
    <w:rsid w:val="00946E2E"/>
    <w:rsid w:val="00947255"/>
    <w:rsid w:val="00947D55"/>
    <w:rsid w:val="009503EC"/>
    <w:rsid w:val="00950E62"/>
    <w:rsid w:val="00950E87"/>
    <w:rsid w:val="00951429"/>
    <w:rsid w:val="00951647"/>
    <w:rsid w:val="00951901"/>
    <w:rsid w:val="00953985"/>
    <w:rsid w:val="00953FD3"/>
    <w:rsid w:val="00954326"/>
    <w:rsid w:val="00954D94"/>
    <w:rsid w:val="0095539D"/>
    <w:rsid w:val="009556B7"/>
    <w:rsid w:val="00955CEE"/>
    <w:rsid w:val="00955D4C"/>
    <w:rsid w:val="0096119A"/>
    <w:rsid w:val="00961AC7"/>
    <w:rsid w:val="00961B73"/>
    <w:rsid w:val="00962004"/>
    <w:rsid w:val="009631A0"/>
    <w:rsid w:val="009639F5"/>
    <w:rsid w:val="00964024"/>
    <w:rsid w:val="009646BB"/>
    <w:rsid w:val="00964750"/>
    <w:rsid w:val="00965701"/>
    <w:rsid w:val="00966317"/>
    <w:rsid w:val="009665B1"/>
    <w:rsid w:val="00966729"/>
    <w:rsid w:val="009673D2"/>
    <w:rsid w:val="009706C5"/>
    <w:rsid w:val="00971653"/>
    <w:rsid w:val="00971B7D"/>
    <w:rsid w:val="0097275D"/>
    <w:rsid w:val="009728AC"/>
    <w:rsid w:val="00972917"/>
    <w:rsid w:val="00973149"/>
    <w:rsid w:val="00973AC1"/>
    <w:rsid w:val="009744BB"/>
    <w:rsid w:val="0097480D"/>
    <w:rsid w:val="00974A22"/>
    <w:rsid w:val="0097573B"/>
    <w:rsid w:val="00975EC1"/>
    <w:rsid w:val="00977CC0"/>
    <w:rsid w:val="009805C5"/>
    <w:rsid w:val="0098120A"/>
    <w:rsid w:val="0098147B"/>
    <w:rsid w:val="0098284B"/>
    <w:rsid w:val="00984829"/>
    <w:rsid w:val="00984973"/>
    <w:rsid w:val="00986F26"/>
    <w:rsid w:val="00990C70"/>
    <w:rsid w:val="00990DA4"/>
    <w:rsid w:val="00990F3F"/>
    <w:rsid w:val="00991910"/>
    <w:rsid w:val="009923B3"/>
    <w:rsid w:val="00993411"/>
    <w:rsid w:val="00993959"/>
    <w:rsid w:val="00996089"/>
    <w:rsid w:val="00997B48"/>
    <w:rsid w:val="009A09A8"/>
    <w:rsid w:val="009A0E07"/>
    <w:rsid w:val="009A13C2"/>
    <w:rsid w:val="009A14C9"/>
    <w:rsid w:val="009A16F9"/>
    <w:rsid w:val="009A20EE"/>
    <w:rsid w:val="009A290C"/>
    <w:rsid w:val="009A4890"/>
    <w:rsid w:val="009A4AD7"/>
    <w:rsid w:val="009A4DB8"/>
    <w:rsid w:val="009A5C60"/>
    <w:rsid w:val="009A5CFD"/>
    <w:rsid w:val="009A6500"/>
    <w:rsid w:val="009A674D"/>
    <w:rsid w:val="009A7657"/>
    <w:rsid w:val="009B0676"/>
    <w:rsid w:val="009B0F94"/>
    <w:rsid w:val="009B1766"/>
    <w:rsid w:val="009B1EDB"/>
    <w:rsid w:val="009B22EB"/>
    <w:rsid w:val="009B387D"/>
    <w:rsid w:val="009B41C8"/>
    <w:rsid w:val="009B44B6"/>
    <w:rsid w:val="009B44D7"/>
    <w:rsid w:val="009B5891"/>
    <w:rsid w:val="009B657A"/>
    <w:rsid w:val="009B79E7"/>
    <w:rsid w:val="009C0055"/>
    <w:rsid w:val="009C0347"/>
    <w:rsid w:val="009C08D5"/>
    <w:rsid w:val="009C0C16"/>
    <w:rsid w:val="009C1AE3"/>
    <w:rsid w:val="009C1DF3"/>
    <w:rsid w:val="009C380D"/>
    <w:rsid w:val="009C5AD6"/>
    <w:rsid w:val="009C6699"/>
    <w:rsid w:val="009C7985"/>
    <w:rsid w:val="009C7C7A"/>
    <w:rsid w:val="009D1883"/>
    <w:rsid w:val="009D276B"/>
    <w:rsid w:val="009D4334"/>
    <w:rsid w:val="009D4B21"/>
    <w:rsid w:val="009D4CC5"/>
    <w:rsid w:val="009D4D6B"/>
    <w:rsid w:val="009D5875"/>
    <w:rsid w:val="009D5B43"/>
    <w:rsid w:val="009D67B8"/>
    <w:rsid w:val="009E2EA3"/>
    <w:rsid w:val="009E34D6"/>
    <w:rsid w:val="009E412C"/>
    <w:rsid w:val="009E4C16"/>
    <w:rsid w:val="009E60D0"/>
    <w:rsid w:val="009E7445"/>
    <w:rsid w:val="009E7544"/>
    <w:rsid w:val="009E790C"/>
    <w:rsid w:val="009F04DC"/>
    <w:rsid w:val="009F064D"/>
    <w:rsid w:val="009F1426"/>
    <w:rsid w:val="009F1525"/>
    <w:rsid w:val="009F1EA6"/>
    <w:rsid w:val="009F3C5B"/>
    <w:rsid w:val="009F4478"/>
    <w:rsid w:val="009F4479"/>
    <w:rsid w:val="009F465C"/>
    <w:rsid w:val="009F482C"/>
    <w:rsid w:val="009F5C91"/>
    <w:rsid w:val="009F6F74"/>
    <w:rsid w:val="009F7B62"/>
    <w:rsid w:val="00A01701"/>
    <w:rsid w:val="00A01CF8"/>
    <w:rsid w:val="00A025C7"/>
    <w:rsid w:val="00A031C0"/>
    <w:rsid w:val="00A03566"/>
    <w:rsid w:val="00A0387D"/>
    <w:rsid w:val="00A0390E"/>
    <w:rsid w:val="00A03F5B"/>
    <w:rsid w:val="00A04750"/>
    <w:rsid w:val="00A04926"/>
    <w:rsid w:val="00A05058"/>
    <w:rsid w:val="00A05FB8"/>
    <w:rsid w:val="00A07036"/>
    <w:rsid w:val="00A0767D"/>
    <w:rsid w:val="00A10087"/>
    <w:rsid w:val="00A102B2"/>
    <w:rsid w:val="00A11111"/>
    <w:rsid w:val="00A11311"/>
    <w:rsid w:val="00A11412"/>
    <w:rsid w:val="00A11B5C"/>
    <w:rsid w:val="00A11C82"/>
    <w:rsid w:val="00A12ADB"/>
    <w:rsid w:val="00A12E0E"/>
    <w:rsid w:val="00A13557"/>
    <w:rsid w:val="00A15B96"/>
    <w:rsid w:val="00A1645F"/>
    <w:rsid w:val="00A16BF3"/>
    <w:rsid w:val="00A17E64"/>
    <w:rsid w:val="00A20BCF"/>
    <w:rsid w:val="00A20E9E"/>
    <w:rsid w:val="00A2118C"/>
    <w:rsid w:val="00A2166C"/>
    <w:rsid w:val="00A21FA7"/>
    <w:rsid w:val="00A22655"/>
    <w:rsid w:val="00A24025"/>
    <w:rsid w:val="00A24F36"/>
    <w:rsid w:val="00A24FEC"/>
    <w:rsid w:val="00A25CCC"/>
    <w:rsid w:val="00A272C0"/>
    <w:rsid w:val="00A30285"/>
    <w:rsid w:val="00A30D08"/>
    <w:rsid w:val="00A30E9B"/>
    <w:rsid w:val="00A30F10"/>
    <w:rsid w:val="00A3107E"/>
    <w:rsid w:val="00A315B2"/>
    <w:rsid w:val="00A3179F"/>
    <w:rsid w:val="00A318BE"/>
    <w:rsid w:val="00A31DF0"/>
    <w:rsid w:val="00A32409"/>
    <w:rsid w:val="00A32529"/>
    <w:rsid w:val="00A32D81"/>
    <w:rsid w:val="00A32E2E"/>
    <w:rsid w:val="00A3301C"/>
    <w:rsid w:val="00A33A7F"/>
    <w:rsid w:val="00A34A55"/>
    <w:rsid w:val="00A34AE5"/>
    <w:rsid w:val="00A35664"/>
    <w:rsid w:val="00A37D7D"/>
    <w:rsid w:val="00A403C2"/>
    <w:rsid w:val="00A405A9"/>
    <w:rsid w:val="00A40771"/>
    <w:rsid w:val="00A419A5"/>
    <w:rsid w:val="00A41B21"/>
    <w:rsid w:val="00A4339A"/>
    <w:rsid w:val="00A4377C"/>
    <w:rsid w:val="00A43DC5"/>
    <w:rsid w:val="00A43F50"/>
    <w:rsid w:val="00A45BB6"/>
    <w:rsid w:val="00A45DDE"/>
    <w:rsid w:val="00A476F7"/>
    <w:rsid w:val="00A50190"/>
    <w:rsid w:val="00A502DA"/>
    <w:rsid w:val="00A504F6"/>
    <w:rsid w:val="00A507ED"/>
    <w:rsid w:val="00A51210"/>
    <w:rsid w:val="00A51CD5"/>
    <w:rsid w:val="00A5228E"/>
    <w:rsid w:val="00A53040"/>
    <w:rsid w:val="00A53107"/>
    <w:rsid w:val="00A53120"/>
    <w:rsid w:val="00A536A0"/>
    <w:rsid w:val="00A54F03"/>
    <w:rsid w:val="00A558FE"/>
    <w:rsid w:val="00A55D29"/>
    <w:rsid w:val="00A55E32"/>
    <w:rsid w:val="00A608B6"/>
    <w:rsid w:val="00A625B9"/>
    <w:rsid w:val="00A62E38"/>
    <w:rsid w:val="00A62F99"/>
    <w:rsid w:val="00A6405C"/>
    <w:rsid w:val="00A651C0"/>
    <w:rsid w:val="00A65283"/>
    <w:rsid w:val="00A6568D"/>
    <w:rsid w:val="00A65DE1"/>
    <w:rsid w:val="00A66FEC"/>
    <w:rsid w:val="00A70CBA"/>
    <w:rsid w:val="00A72215"/>
    <w:rsid w:val="00A733A7"/>
    <w:rsid w:val="00A73C62"/>
    <w:rsid w:val="00A755F8"/>
    <w:rsid w:val="00A75792"/>
    <w:rsid w:val="00A75A58"/>
    <w:rsid w:val="00A76BC9"/>
    <w:rsid w:val="00A76C37"/>
    <w:rsid w:val="00A778F6"/>
    <w:rsid w:val="00A77B02"/>
    <w:rsid w:val="00A77DF8"/>
    <w:rsid w:val="00A80E7F"/>
    <w:rsid w:val="00A811EB"/>
    <w:rsid w:val="00A821B0"/>
    <w:rsid w:val="00A82CC8"/>
    <w:rsid w:val="00A833D0"/>
    <w:rsid w:val="00A83645"/>
    <w:rsid w:val="00A83A32"/>
    <w:rsid w:val="00A83A82"/>
    <w:rsid w:val="00A83E66"/>
    <w:rsid w:val="00A84747"/>
    <w:rsid w:val="00A84C73"/>
    <w:rsid w:val="00A8569D"/>
    <w:rsid w:val="00A85C98"/>
    <w:rsid w:val="00A860BE"/>
    <w:rsid w:val="00A860E1"/>
    <w:rsid w:val="00A872CA"/>
    <w:rsid w:val="00A87FDE"/>
    <w:rsid w:val="00A904EE"/>
    <w:rsid w:val="00A90502"/>
    <w:rsid w:val="00A91905"/>
    <w:rsid w:val="00A92492"/>
    <w:rsid w:val="00A94B9E"/>
    <w:rsid w:val="00A96310"/>
    <w:rsid w:val="00A966F6"/>
    <w:rsid w:val="00A97D0D"/>
    <w:rsid w:val="00AA02FD"/>
    <w:rsid w:val="00AA087C"/>
    <w:rsid w:val="00AA0DB9"/>
    <w:rsid w:val="00AA15DE"/>
    <w:rsid w:val="00AA2508"/>
    <w:rsid w:val="00AA368B"/>
    <w:rsid w:val="00AA46B6"/>
    <w:rsid w:val="00AA4925"/>
    <w:rsid w:val="00AA4BDF"/>
    <w:rsid w:val="00AA550B"/>
    <w:rsid w:val="00AA5602"/>
    <w:rsid w:val="00AA77B5"/>
    <w:rsid w:val="00AB11AB"/>
    <w:rsid w:val="00AB18C3"/>
    <w:rsid w:val="00AB1C33"/>
    <w:rsid w:val="00AB2C50"/>
    <w:rsid w:val="00AB2E4F"/>
    <w:rsid w:val="00AB30E7"/>
    <w:rsid w:val="00AB3385"/>
    <w:rsid w:val="00AB34DB"/>
    <w:rsid w:val="00AB4231"/>
    <w:rsid w:val="00AB5D26"/>
    <w:rsid w:val="00AB6792"/>
    <w:rsid w:val="00AB6A8E"/>
    <w:rsid w:val="00AB7706"/>
    <w:rsid w:val="00AB77AD"/>
    <w:rsid w:val="00AB7D18"/>
    <w:rsid w:val="00AB7F24"/>
    <w:rsid w:val="00AC0668"/>
    <w:rsid w:val="00AC0B2C"/>
    <w:rsid w:val="00AC1283"/>
    <w:rsid w:val="00AC12D6"/>
    <w:rsid w:val="00AC2733"/>
    <w:rsid w:val="00AC5773"/>
    <w:rsid w:val="00AD1194"/>
    <w:rsid w:val="00AD136B"/>
    <w:rsid w:val="00AD21B2"/>
    <w:rsid w:val="00AD2A13"/>
    <w:rsid w:val="00AD403F"/>
    <w:rsid w:val="00AD4F84"/>
    <w:rsid w:val="00AD55AC"/>
    <w:rsid w:val="00AD58E9"/>
    <w:rsid w:val="00AD5AC4"/>
    <w:rsid w:val="00AD5B18"/>
    <w:rsid w:val="00AD7807"/>
    <w:rsid w:val="00AD7F43"/>
    <w:rsid w:val="00AE0269"/>
    <w:rsid w:val="00AE07DE"/>
    <w:rsid w:val="00AE080C"/>
    <w:rsid w:val="00AE1FF4"/>
    <w:rsid w:val="00AE29CC"/>
    <w:rsid w:val="00AE311D"/>
    <w:rsid w:val="00AE3823"/>
    <w:rsid w:val="00AE3DC9"/>
    <w:rsid w:val="00AE3E82"/>
    <w:rsid w:val="00AE42F2"/>
    <w:rsid w:val="00AE4EE8"/>
    <w:rsid w:val="00AE4F4B"/>
    <w:rsid w:val="00AE69D7"/>
    <w:rsid w:val="00AE7219"/>
    <w:rsid w:val="00AE7435"/>
    <w:rsid w:val="00AF223C"/>
    <w:rsid w:val="00AF23C9"/>
    <w:rsid w:val="00AF26F2"/>
    <w:rsid w:val="00AF27C5"/>
    <w:rsid w:val="00AF27E6"/>
    <w:rsid w:val="00AF39EC"/>
    <w:rsid w:val="00AF4446"/>
    <w:rsid w:val="00AF4B16"/>
    <w:rsid w:val="00AF690B"/>
    <w:rsid w:val="00AF6F65"/>
    <w:rsid w:val="00AF755E"/>
    <w:rsid w:val="00AF7C8F"/>
    <w:rsid w:val="00AF7CAF"/>
    <w:rsid w:val="00B01458"/>
    <w:rsid w:val="00B027A7"/>
    <w:rsid w:val="00B027CA"/>
    <w:rsid w:val="00B029E2"/>
    <w:rsid w:val="00B02A08"/>
    <w:rsid w:val="00B02BC2"/>
    <w:rsid w:val="00B03816"/>
    <w:rsid w:val="00B03A2C"/>
    <w:rsid w:val="00B0573D"/>
    <w:rsid w:val="00B06780"/>
    <w:rsid w:val="00B07107"/>
    <w:rsid w:val="00B110F5"/>
    <w:rsid w:val="00B11504"/>
    <w:rsid w:val="00B1171E"/>
    <w:rsid w:val="00B12BEA"/>
    <w:rsid w:val="00B148DE"/>
    <w:rsid w:val="00B154C2"/>
    <w:rsid w:val="00B1555A"/>
    <w:rsid w:val="00B15B8B"/>
    <w:rsid w:val="00B15F1A"/>
    <w:rsid w:val="00B17045"/>
    <w:rsid w:val="00B1773E"/>
    <w:rsid w:val="00B17F49"/>
    <w:rsid w:val="00B20114"/>
    <w:rsid w:val="00B20118"/>
    <w:rsid w:val="00B20BB7"/>
    <w:rsid w:val="00B20DC1"/>
    <w:rsid w:val="00B218E6"/>
    <w:rsid w:val="00B25A34"/>
    <w:rsid w:val="00B25C7F"/>
    <w:rsid w:val="00B26658"/>
    <w:rsid w:val="00B26B01"/>
    <w:rsid w:val="00B305C3"/>
    <w:rsid w:val="00B306DA"/>
    <w:rsid w:val="00B307A0"/>
    <w:rsid w:val="00B30E50"/>
    <w:rsid w:val="00B32408"/>
    <w:rsid w:val="00B32772"/>
    <w:rsid w:val="00B32E99"/>
    <w:rsid w:val="00B3454C"/>
    <w:rsid w:val="00B34D99"/>
    <w:rsid w:val="00B35119"/>
    <w:rsid w:val="00B351C4"/>
    <w:rsid w:val="00B37051"/>
    <w:rsid w:val="00B37C80"/>
    <w:rsid w:val="00B37FB0"/>
    <w:rsid w:val="00B4007F"/>
    <w:rsid w:val="00B4058F"/>
    <w:rsid w:val="00B40E18"/>
    <w:rsid w:val="00B4132A"/>
    <w:rsid w:val="00B41C8E"/>
    <w:rsid w:val="00B42DAC"/>
    <w:rsid w:val="00B430B1"/>
    <w:rsid w:val="00B45330"/>
    <w:rsid w:val="00B45900"/>
    <w:rsid w:val="00B463EF"/>
    <w:rsid w:val="00B47028"/>
    <w:rsid w:val="00B500AD"/>
    <w:rsid w:val="00B50C6A"/>
    <w:rsid w:val="00B5109D"/>
    <w:rsid w:val="00B5151A"/>
    <w:rsid w:val="00B51B77"/>
    <w:rsid w:val="00B523DE"/>
    <w:rsid w:val="00B52C37"/>
    <w:rsid w:val="00B53820"/>
    <w:rsid w:val="00B53BC5"/>
    <w:rsid w:val="00B53DE1"/>
    <w:rsid w:val="00B546EE"/>
    <w:rsid w:val="00B54EFC"/>
    <w:rsid w:val="00B550A2"/>
    <w:rsid w:val="00B55E41"/>
    <w:rsid w:val="00B564B6"/>
    <w:rsid w:val="00B577F8"/>
    <w:rsid w:val="00B609BA"/>
    <w:rsid w:val="00B60ED5"/>
    <w:rsid w:val="00B61323"/>
    <w:rsid w:val="00B6263A"/>
    <w:rsid w:val="00B62DFF"/>
    <w:rsid w:val="00B63282"/>
    <w:rsid w:val="00B64037"/>
    <w:rsid w:val="00B64111"/>
    <w:rsid w:val="00B645BC"/>
    <w:rsid w:val="00B647CC"/>
    <w:rsid w:val="00B66584"/>
    <w:rsid w:val="00B6699C"/>
    <w:rsid w:val="00B70B2A"/>
    <w:rsid w:val="00B713B5"/>
    <w:rsid w:val="00B71C39"/>
    <w:rsid w:val="00B72E8D"/>
    <w:rsid w:val="00B7305D"/>
    <w:rsid w:val="00B732F0"/>
    <w:rsid w:val="00B736AE"/>
    <w:rsid w:val="00B73A47"/>
    <w:rsid w:val="00B7467E"/>
    <w:rsid w:val="00B7490C"/>
    <w:rsid w:val="00B7519F"/>
    <w:rsid w:val="00B75BFF"/>
    <w:rsid w:val="00B75F1D"/>
    <w:rsid w:val="00B801A8"/>
    <w:rsid w:val="00B80E0E"/>
    <w:rsid w:val="00B8196C"/>
    <w:rsid w:val="00B81970"/>
    <w:rsid w:val="00B82251"/>
    <w:rsid w:val="00B827D0"/>
    <w:rsid w:val="00B8391E"/>
    <w:rsid w:val="00B846CF"/>
    <w:rsid w:val="00B862CA"/>
    <w:rsid w:val="00B86A20"/>
    <w:rsid w:val="00B8795C"/>
    <w:rsid w:val="00B909F7"/>
    <w:rsid w:val="00B91460"/>
    <w:rsid w:val="00B91493"/>
    <w:rsid w:val="00B9162C"/>
    <w:rsid w:val="00B917C5"/>
    <w:rsid w:val="00B91F50"/>
    <w:rsid w:val="00B9216B"/>
    <w:rsid w:val="00B93E1F"/>
    <w:rsid w:val="00B95A9D"/>
    <w:rsid w:val="00B95DC2"/>
    <w:rsid w:val="00B97C13"/>
    <w:rsid w:val="00BA1318"/>
    <w:rsid w:val="00BA19F0"/>
    <w:rsid w:val="00BA1B67"/>
    <w:rsid w:val="00BA22B0"/>
    <w:rsid w:val="00BA23CC"/>
    <w:rsid w:val="00BA2AC2"/>
    <w:rsid w:val="00BA400C"/>
    <w:rsid w:val="00BA579E"/>
    <w:rsid w:val="00BA61E2"/>
    <w:rsid w:val="00BA6861"/>
    <w:rsid w:val="00BA728E"/>
    <w:rsid w:val="00BA7524"/>
    <w:rsid w:val="00BA7E43"/>
    <w:rsid w:val="00BB1670"/>
    <w:rsid w:val="00BB262E"/>
    <w:rsid w:val="00BB2F30"/>
    <w:rsid w:val="00BB3038"/>
    <w:rsid w:val="00BB3ADA"/>
    <w:rsid w:val="00BB44B9"/>
    <w:rsid w:val="00BB4AA0"/>
    <w:rsid w:val="00BB4C39"/>
    <w:rsid w:val="00BB4E5C"/>
    <w:rsid w:val="00BB5176"/>
    <w:rsid w:val="00BB606A"/>
    <w:rsid w:val="00BB6B1C"/>
    <w:rsid w:val="00BB6FDD"/>
    <w:rsid w:val="00BB7158"/>
    <w:rsid w:val="00BB7407"/>
    <w:rsid w:val="00BC0CAA"/>
    <w:rsid w:val="00BC11F1"/>
    <w:rsid w:val="00BC1F5E"/>
    <w:rsid w:val="00BC22EE"/>
    <w:rsid w:val="00BC3066"/>
    <w:rsid w:val="00BC317B"/>
    <w:rsid w:val="00BC3ED4"/>
    <w:rsid w:val="00BC514F"/>
    <w:rsid w:val="00BC5A71"/>
    <w:rsid w:val="00BC7EB7"/>
    <w:rsid w:val="00BD0440"/>
    <w:rsid w:val="00BD09E6"/>
    <w:rsid w:val="00BD0BD5"/>
    <w:rsid w:val="00BD27ED"/>
    <w:rsid w:val="00BD2918"/>
    <w:rsid w:val="00BD2B4F"/>
    <w:rsid w:val="00BD3E69"/>
    <w:rsid w:val="00BD4229"/>
    <w:rsid w:val="00BD5415"/>
    <w:rsid w:val="00BD5738"/>
    <w:rsid w:val="00BD712F"/>
    <w:rsid w:val="00BD7565"/>
    <w:rsid w:val="00BE01A5"/>
    <w:rsid w:val="00BE03D1"/>
    <w:rsid w:val="00BE067E"/>
    <w:rsid w:val="00BE0923"/>
    <w:rsid w:val="00BE0C93"/>
    <w:rsid w:val="00BE29A6"/>
    <w:rsid w:val="00BE2A46"/>
    <w:rsid w:val="00BE2B77"/>
    <w:rsid w:val="00BE3E7B"/>
    <w:rsid w:val="00BE518C"/>
    <w:rsid w:val="00BE63F0"/>
    <w:rsid w:val="00BE69A0"/>
    <w:rsid w:val="00BE6D17"/>
    <w:rsid w:val="00BE7B39"/>
    <w:rsid w:val="00BE7F12"/>
    <w:rsid w:val="00BF03E7"/>
    <w:rsid w:val="00BF0BA1"/>
    <w:rsid w:val="00BF21AE"/>
    <w:rsid w:val="00BF2EC1"/>
    <w:rsid w:val="00BF3124"/>
    <w:rsid w:val="00BF5D2C"/>
    <w:rsid w:val="00BF714C"/>
    <w:rsid w:val="00BF7289"/>
    <w:rsid w:val="00C02BD9"/>
    <w:rsid w:val="00C0302A"/>
    <w:rsid w:val="00C03446"/>
    <w:rsid w:val="00C03D58"/>
    <w:rsid w:val="00C04169"/>
    <w:rsid w:val="00C0561D"/>
    <w:rsid w:val="00C07797"/>
    <w:rsid w:val="00C07840"/>
    <w:rsid w:val="00C10D7B"/>
    <w:rsid w:val="00C11330"/>
    <w:rsid w:val="00C1278A"/>
    <w:rsid w:val="00C131BB"/>
    <w:rsid w:val="00C159E1"/>
    <w:rsid w:val="00C16B70"/>
    <w:rsid w:val="00C16D63"/>
    <w:rsid w:val="00C175BE"/>
    <w:rsid w:val="00C1796C"/>
    <w:rsid w:val="00C17C35"/>
    <w:rsid w:val="00C20608"/>
    <w:rsid w:val="00C20C94"/>
    <w:rsid w:val="00C237E1"/>
    <w:rsid w:val="00C23BB4"/>
    <w:rsid w:val="00C27E64"/>
    <w:rsid w:val="00C3032F"/>
    <w:rsid w:val="00C30670"/>
    <w:rsid w:val="00C3150A"/>
    <w:rsid w:val="00C32A9D"/>
    <w:rsid w:val="00C32DD4"/>
    <w:rsid w:val="00C3592D"/>
    <w:rsid w:val="00C377A6"/>
    <w:rsid w:val="00C403EB"/>
    <w:rsid w:val="00C40ADD"/>
    <w:rsid w:val="00C42217"/>
    <w:rsid w:val="00C453E6"/>
    <w:rsid w:val="00C45A93"/>
    <w:rsid w:val="00C4701E"/>
    <w:rsid w:val="00C50F83"/>
    <w:rsid w:val="00C52915"/>
    <w:rsid w:val="00C52F63"/>
    <w:rsid w:val="00C53473"/>
    <w:rsid w:val="00C53488"/>
    <w:rsid w:val="00C57132"/>
    <w:rsid w:val="00C60260"/>
    <w:rsid w:val="00C602AF"/>
    <w:rsid w:val="00C60C78"/>
    <w:rsid w:val="00C615E0"/>
    <w:rsid w:val="00C61C67"/>
    <w:rsid w:val="00C61FBB"/>
    <w:rsid w:val="00C62C2A"/>
    <w:rsid w:val="00C62F25"/>
    <w:rsid w:val="00C63D88"/>
    <w:rsid w:val="00C64748"/>
    <w:rsid w:val="00C647BC"/>
    <w:rsid w:val="00C65A04"/>
    <w:rsid w:val="00C65C61"/>
    <w:rsid w:val="00C66421"/>
    <w:rsid w:val="00C66FA1"/>
    <w:rsid w:val="00C67868"/>
    <w:rsid w:val="00C67917"/>
    <w:rsid w:val="00C70FAD"/>
    <w:rsid w:val="00C72D74"/>
    <w:rsid w:val="00C72E35"/>
    <w:rsid w:val="00C733F7"/>
    <w:rsid w:val="00C73A6B"/>
    <w:rsid w:val="00C752E6"/>
    <w:rsid w:val="00C75900"/>
    <w:rsid w:val="00C76393"/>
    <w:rsid w:val="00C767FA"/>
    <w:rsid w:val="00C769B7"/>
    <w:rsid w:val="00C76CED"/>
    <w:rsid w:val="00C77822"/>
    <w:rsid w:val="00C77A46"/>
    <w:rsid w:val="00C80800"/>
    <w:rsid w:val="00C81006"/>
    <w:rsid w:val="00C8123F"/>
    <w:rsid w:val="00C815AB"/>
    <w:rsid w:val="00C828E9"/>
    <w:rsid w:val="00C82B09"/>
    <w:rsid w:val="00C82BF3"/>
    <w:rsid w:val="00C83BF2"/>
    <w:rsid w:val="00C83FF2"/>
    <w:rsid w:val="00C84100"/>
    <w:rsid w:val="00C84540"/>
    <w:rsid w:val="00C852C6"/>
    <w:rsid w:val="00C85E61"/>
    <w:rsid w:val="00C85F2B"/>
    <w:rsid w:val="00C8616A"/>
    <w:rsid w:val="00C868DD"/>
    <w:rsid w:val="00C87404"/>
    <w:rsid w:val="00C879C9"/>
    <w:rsid w:val="00C87F08"/>
    <w:rsid w:val="00C900DF"/>
    <w:rsid w:val="00C922DF"/>
    <w:rsid w:val="00C94896"/>
    <w:rsid w:val="00C9534B"/>
    <w:rsid w:val="00C95F84"/>
    <w:rsid w:val="00C9680A"/>
    <w:rsid w:val="00C979FF"/>
    <w:rsid w:val="00C97C52"/>
    <w:rsid w:val="00CA0756"/>
    <w:rsid w:val="00CA0A0D"/>
    <w:rsid w:val="00CA0AA0"/>
    <w:rsid w:val="00CA10F5"/>
    <w:rsid w:val="00CA1EF2"/>
    <w:rsid w:val="00CA25A5"/>
    <w:rsid w:val="00CA2D63"/>
    <w:rsid w:val="00CA33B3"/>
    <w:rsid w:val="00CA3ACD"/>
    <w:rsid w:val="00CA4BB7"/>
    <w:rsid w:val="00CA5202"/>
    <w:rsid w:val="00CA536D"/>
    <w:rsid w:val="00CA5EE5"/>
    <w:rsid w:val="00CA6744"/>
    <w:rsid w:val="00CB0054"/>
    <w:rsid w:val="00CB2680"/>
    <w:rsid w:val="00CB39EC"/>
    <w:rsid w:val="00CB5674"/>
    <w:rsid w:val="00CB57DB"/>
    <w:rsid w:val="00CB588C"/>
    <w:rsid w:val="00CB67F5"/>
    <w:rsid w:val="00CB6D4B"/>
    <w:rsid w:val="00CB7409"/>
    <w:rsid w:val="00CC0D30"/>
    <w:rsid w:val="00CC28FE"/>
    <w:rsid w:val="00CC35A0"/>
    <w:rsid w:val="00CC471B"/>
    <w:rsid w:val="00CC49D1"/>
    <w:rsid w:val="00CC71CF"/>
    <w:rsid w:val="00CC7CEF"/>
    <w:rsid w:val="00CC7D4F"/>
    <w:rsid w:val="00CD1B28"/>
    <w:rsid w:val="00CD27B8"/>
    <w:rsid w:val="00CD2BD4"/>
    <w:rsid w:val="00CD2E61"/>
    <w:rsid w:val="00CD347F"/>
    <w:rsid w:val="00CD35AB"/>
    <w:rsid w:val="00CD3A9F"/>
    <w:rsid w:val="00CD3D28"/>
    <w:rsid w:val="00CD3FE9"/>
    <w:rsid w:val="00CD42FA"/>
    <w:rsid w:val="00CD4CD3"/>
    <w:rsid w:val="00CD5399"/>
    <w:rsid w:val="00CD597F"/>
    <w:rsid w:val="00CD59F6"/>
    <w:rsid w:val="00CD6153"/>
    <w:rsid w:val="00CD6616"/>
    <w:rsid w:val="00CD694F"/>
    <w:rsid w:val="00CE0B11"/>
    <w:rsid w:val="00CE144D"/>
    <w:rsid w:val="00CE1CCD"/>
    <w:rsid w:val="00CE54F8"/>
    <w:rsid w:val="00CE64C3"/>
    <w:rsid w:val="00CE7CF7"/>
    <w:rsid w:val="00CF1730"/>
    <w:rsid w:val="00CF1C91"/>
    <w:rsid w:val="00CF1DA2"/>
    <w:rsid w:val="00CF30C9"/>
    <w:rsid w:val="00CF3D92"/>
    <w:rsid w:val="00CF4A5D"/>
    <w:rsid w:val="00CF4DAB"/>
    <w:rsid w:val="00CF5231"/>
    <w:rsid w:val="00CF58E6"/>
    <w:rsid w:val="00CF78C0"/>
    <w:rsid w:val="00CF799A"/>
    <w:rsid w:val="00D00A7D"/>
    <w:rsid w:val="00D02C90"/>
    <w:rsid w:val="00D03699"/>
    <w:rsid w:val="00D04333"/>
    <w:rsid w:val="00D0479F"/>
    <w:rsid w:val="00D0564A"/>
    <w:rsid w:val="00D05722"/>
    <w:rsid w:val="00D062CA"/>
    <w:rsid w:val="00D06879"/>
    <w:rsid w:val="00D06C14"/>
    <w:rsid w:val="00D07A78"/>
    <w:rsid w:val="00D07E99"/>
    <w:rsid w:val="00D07F31"/>
    <w:rsid w:val="00D10481"/>
    <w:rsid w:val="00D11397"/>
    <w:rsid w:val="00D118B8"/>
    <w:rsid w:val="00D126C7"/>
    <w:rsid w:val="00D12C4E"/>
    <w:rsid w:val="00D130A0"/>
    <w:rsid w:val="00D13110"/>
    <w:rsid w:val="00D131F1"/>
    <w:rsid w:val="00D14BBB"/>
    <w:rsid w:val="00D15AA0"/>
    <w:rsid w:val="00D16DC4"/>
    <w:rsid w:val="00D1717A"/>
    <w:rsid w:val="00D172A5"/>
    <w:rsid w:val="00D178C3"/>
    <w:rsid w:val="00D20862"/>
    <w:rsid w:val="00D22058"/>
    <w:rsid w:val="00D22574"/>
    <w:rsid w:val="00D2341C"/>
    <w:rsid w:val="00D23CE9"/>
    <w:rsid w:val="00D25B66"/>
    <w:rsid w:val="00D272B1"/>
    <w:rsid w:val="00D27E15"/>
    <w:rsid w:val="00D307C3"/>
    <w:rsid w:val="00D30C52"/>
    <w:rsid w:val="00D30ED6"/>
    <w:rsid w:val="00D310A5"/>
    <w:rsid w:val="00D31292"/>
    <w:rsid w:val="00D31467"/>
    <w:rsid w:val="00D31630"/>
    <w:rsid w:val="00D31DE9"/>
    <w:rsid w:val="00D3241A"/>
    <w:rsid w:val="00D32DDF"/>
    <w:rsid w:val="00D333E9"/>
    <w:rsid w:val="00D33AB1"/>
    <w:rsid w:val="00D35DFD"/>
    <w:rsid w:val="00D35F95"/>
    <w:rsid w:val="00D36AB4"/>
    <w:rsid w:val="00D36E1E"/>
    <w:rsid w:val="00D3702F"/>
    <w:rsid w:val="00D37BDC"/>
    <w:rsid w:val="00D4099A"/>
    <w:rsid w:val="00D40A7B"/>
    <w:rsid w:val="00D427E4"/>
    <w:rsid w:val="00D42E65"/>
    <w:rsid w:val="00D43D6D"/>
    <w:rsid w:val="00D43E80"/>
    <w:rsid w:val="00D4492C"/>
    <w:rsid w:val="00D451B6"/>
    <w:rsid w:val="00D456B6"/>
    <w:rsid w:val="00D47B38"/>
    <w:rsid w:val="00D47CF1"/>
    <w:rsid w:val="00D505F4"/>
    <w:rsid w:val="00D506FE"/>
    <w:rsid w:val="00D50B24"/>
    <w:rsid w:val="00D50FC2"/>
    <w:rsid w:val="00D5169A"/>
    <w:rsid w:val="00D5173E"/>
    <w:rsid w:val="00D51BD4"/>
    <w:rsid w:val="00D51DE2"/>
    <w:rsid w:val="00D5369A"/>
    <w:rsid w:val="00D558D3"/>
    <w:rsid w:val="00D561CC"/>
    <w:rsid w:val="00D57216"/>
    <w:rsid w:val="00D6057F"/>
    <w:rsid w:val="00D60835"/>
    <w:rsid w:val="00D6099D"/>
    <w:rsid w:val="00D61A25"/>
    <w:rsid w:val="00D61B41"/>
    <w:rsid w:val="00D62FE7"/>
    <w:rsid w:val="00D63B53"/>
    <w:rsid w:val="00D63F88"/>
    <w:rsid w:val="00D645A3"/>
    <w:rsid w:val="00D66A00"/>
    <w:rsid w:val="00D67847"/>
    <w:rsid w:val="00D7010B"/>
    <w:rsid w:val="00D7179B"/>
    <w:rsid w:val="00D72324"/>
    <w:rsid w:val="00D724B9"/>
    <w:rsid w:val="00D73C22"/>
    <w:rsid w:val="00D7476B"/>
    <w:rsid w:val="00D759EC"/>
    <w:rsid w:val="00D75A4F"/>
    <w:rsid w:val="00D75ACE"/>
    <w:rsid w:val="00D760E5"/>
    <w:rsid w:val="00D7715B"/>
    <w:rsid w:val="00D77F05"/>
    <w:rsid w:val="00D802AB"/>
    <w:rsid w:val="00D8080E"/>
    <w:rsid w:val="00D824D2"/>
    <w:rsid w:val="00D8269F"/>
    <w:rsid w:val="00D84083"/>
    <w:rsid w:val="00D84465"/>
    <w:rsid w:val="00D84EDB"/>
    <w:rsid w:val="00D85158"/>
    <w:rsid w:val="00D858DB"/>
    <w:rsid w:val="00D85B1A"/>
    <w:rsid w:val="00D8634F"/>
    <w:rsid w:val="00D86515"/>
    <w:rsid w:val="00D867AC"/>
    <w:rsid w:val="00D86F12"/>
    <w:rsid w:val="00D8720E"/>
    <w:rsid w:val="00D90318"/>
    <w:rsid w:val="00D90D37"/>
    <w:rsid w:val="00D917A2"/>
    <w:rsid w:val="00D91DE9"/>
    <w:rsid w:val="00D91F35"/>
    <w:rsid w:val="00D92D6C"/>
    <w:rsid w:val="00D94209"/>
    <w:rsid w:val="00D9561B"/>
    <w:rsid w:val="00D9603E"/>
    <w:rsid w:val="00DA0245"/>
    <w:rsid w:val="00DA1DD0"/>
    <w:rsid w:val="00DA33C8"/>
    <w:rsid w:val="00DA3A69"/>
    <w:rsid w:val="00DA4D69"/>
    <w:rsid w:val="00DA5125"/>
    <w:rsid w:val="00DA5DE6"/>
    <w:rsid w:val="00DA6790"/>
    <w:rsid w:val="00DA68DE"/>
    <w:rsid w:val="00DA6BD2"/>
    <w:rsid w:val="00DA6BD4"/>
    <w:rsid w:val="00DA7113"/>
    <w:rsid w:val="00DA7339"/>
    <w:rsid w:val="00DA7A28"/>
    <w:rsid w:val="00DA7FD1"/>
    <w:rsid w:val="00DB0093"/>
    <w:rsid w:val="00DB0946"/>
    <w:rsid w:val="00DB0DFE"/>
    <w:rsid w:val="00DB102A"/>
    <w:rsid w:val="00DB2262"/>
    <w:rsid w:val="00DB2FEE"/>
    <w:rsid w:val="00DB33F3"/>
    <w:rsid w:val="00DB4515"/>
    <w:rsid w:val="00DB4F6C"/>
    <w:rsid w:val="00DB55B6"/>
    <w:rsid w:val="00DB5F89"/>
    <w:rsid w:val="00DB61D9"/>
    <w:rsid w:val="00DB6A04"/>
    <w:rsid w:val="00DB6C7F"/>
    <w:rsid w:val="00DB791C"/>
    <w:rsid w:val="00DC16BC"/>
    <w:rsid w:val="00DC1A0C"/>
    <w:rsid w:val="00DC28E7"/>
    <w:rsid w:val="00DC5543"/>
    <w:rsid w:val="00DC635E"/>
    <w:rsid w:val="00DC6B20"/>
    <w:rsid w:val="00DC7536"/>
    <w:rsid w:val="00DC758A"/>
    <w:rsid w:val="00DD071B"/>
    <w:rsid w:val="00DD0DDD"/>
    <w:rsid w:val="00DD136F"/>
    <w:rsid w:val="00DD1477"/>
    <w:rsid w:val="00DD26E2"/>
    <w:rsid w:val="00DD36D5"/>
    <w:rsid w:val="00DD3A9D"/>
    <w:rsid w:val="00DD4072"/>
    <w:rsid w:val="00DD5E89"/>
    <w:rsid w:val="00DD7636"/>
    <w:rsid w:val="00DE01BD"/>
    <w:rsid w:val="00DE0827"/>
    <w:rsid w:val="00DE0E6F"/>
    <w:rsid w:val="00DE0ED6"/>
    <w:rsid w:val="00DE1D27"/>
    <w:rsid w:val="00DE25BC"/>
    <w:rsid w:val="00DE2626"/>
    <w:rsid w:val="00DE270C"/>
    <w:rsid w:val="00DE299F"/>
    <w:rsid w:val="00DE4C0E"/>
    <w:rsid w:val="00DE56DF"/>
    <w:rsid w:val="00DE625C"/>
    <w:rsid w:val="00DE6984"/>
    <w:rsid w:val="00DE6A6E"/>
    <w:rsid w:val="00DE766B"/>
    <w:rsid w:val="00DE76AC"/>
    <w:rsid w:val="00DE7B0B"/>
    <w:rsid w:val="00DE7BFE"/>
    <w:rsid w:val="00DF08BA"/>
    <w:rsid w:val="00DF0D6B"/>
    <w:rsid w:val="00DF107C"/>
    <w:rsid w:val="00DF11B0"/>
    <w:rsid w:val="00DF1F62"/>
    <w:rsid w:val="00DF3060"/>
    <w:rsid w:val="00DF435D"/>
    <w:rsid w:val="00DF48CD"/>
    <w:rsid w:val="00DF5A65"/>
    <w:rsid w:val="00DF5CE2"/>
    <w:rsid w:val="00DF68DB"/>
    <w:rsid w:val="00DF6B30"/>
    <w:rsid w:val="00DF7134"/>
    <w:rsid w:val="00E00782"/>
    <w:rsid w:val="00E022B5"/>
    <w:rsid w:val="00E02A61"/>
    <w:rsid w:val="00E032E0"/>
    <w:rsid w:val="00E03492"/>
    <w:rsid w:val="00E04F51"/>
    <w:rsid w:val="00E0534E"/>
    <w:rsid w:val="00E05807"/>
    <w:rsid w:val="00E063F1"/>
    <w:rsid w:val="00E06B54"/>
    <w:rsid w:val="00E07860"/>
    <w:rsid w:val="00E10626"/>
    <w:rsid w:val="00E12952"/>
    <w:rsid w:val="00E129AA"/>
    <w:rsid w:val="00E12A49"/>
    <w:rsid w:val="00E1359F"/>
    <w:rsid w:val="00E143D4"/>
    <w:rsid w:val="00E15012"/>
    <w:rsid w:val="00E159A5"/>
    <w:rsid w:val="00E161E1"/>
    <w:rsid w:val="00E16A26"/>
    <w:rsid w:val="00E16C0F"/>
    <w:rsid w:val="00E171A9"/>
    <w:rsid w:val="00E174BA"/>
    <w:rsid w:val="00E17AFC"/>
    <w:rsid w:val="00E20350"/>
    <w:rsid w:val="00E22732"/>
    <w:rsid w:val="00E24771"/>
    <w:rsid w:val="00E254B2"/>
    <w:rsid w:val="00E261F0"/>
    <w:rsid w:val="00E272EA"/>
    <w:rsid w:val="00E277A1"/>
    <w:rsid w:val="00E300B9"/>
    <w:rsid w:val="00E338A5"/>
    <w:rsid w:val="00E33B74"/>
    <w:rsid w:val="00E33C7B"/>
    <w:rsid w:val="00E3546D"/>
    <w:rsid w:val="00E36F69"/>
    <w:rsid w:val="00E4019A"/>
    <w:rsid w:val="00E40607"/>
    <w:rsid w:val="00E4097D"/>
    <w:rsid w:val="00E40A51"/>
    <w:rsid w:val="00E40CF1"/>
    <w:rsid w:val="00E40FAA"/>
    <w:rsid w:val="00E41104"/>
    <w:rsid w:val="00E4140D"/>
    <w:rsid w:val="00E4176C"/>
    <w:rsid w:val="00E42415"/>
    <w:rsid w:val="00E42687"/>
    <w:rsid w:val="00E42E98"/>
    <w:rsid w:val="00E445BF"/>
    <w:rsid w:val="00E457F4"/>
    <w:rsid w:val="00E46914"/>
    <w:rsid w:val="00E46E26"/>
    <w:rsid w:val="00E47369"/>
    <w:rsid w:val="00E47C9F"/>
    <w:rsid w:val="00E47F88"/>
    <w:rsid w:val="00E5029A"/>
    <w:rsid w:val="00E506DC"/>
    <w:rsid w:val="00E507D1"/>
    <w:rsid w:val="00E50F02"/>
    <w:rsid w:val="00E5158A"/>
    <w:rsid w:val="00E517AE"/>
    <w:rsid w:val="00E5201B"/>
    <w:rsid w:val="00E52411"/>
    <w:rsid w:val="00E53D5F"/>
    <w:rsid w:val="00E54062"/>
    <w:rsid w:val="00E544AC"/>
    <w:rsid w:val="00E5518D"/>
    <w:rsid w:val="00E57619"/>
    <w:rsid w:val="00E6002C"/>
    <w:rsid w:val="00E607BE"/>
    <w:rsid w:val="00E61749"/>
    <w:rsid w:val="00E61830"/>
    <w:rsid w:val="00E61E59"/>
    <w:rsid w:val="00E621DA"/>
    <w:rsid w:val="00E64A6C"/>
    <w:rsid w:val="00E661CB"/>
    <w:rsid w:val="00E679F6"/>
    <w:rsid w:val="00E701A3"/>
    <w:rsid w:val="00E701B6"/>
    <w:rsid w:val="00E711C6"/>
    <w:rsid w:val="00E71F10"/>
    <w:rsid w:val="00E71FB5"/>
    <w:rsid w:val="00E72478"/>
    <w:rsid w:val="00E7288A"/>
    <w:rsid w:val="00E72C70"/>
    <w:rsid w:val="00E72D9E"/>
    <w:rsid w:val="00E73604"/>
    <w:rsid w:val="00E741D6"/>
    <w:rsid w:val="00E74951"/>
    <w:rsid w:val="00E77112"/>
    <w:rsid w:val="00E77642"/>
    <w:rsid w:val="00E82370"/>
    <w:rsid w:val="00E82542"/>
    <w:rsid w:val="00E832E9"/>
    <w:rsid w:val="00E83B7C"/>
    <w:rsid w:val="00E83D2A"/>
    <w:rsid w:val="00E84125"/>
    <w:rsid w:val="00E85E57"/>
    <w:rsid w:val="00E86752"/>
    <w:rsid w:val="00E874BF"/>
    <w:rsid w:val="00E87795"/>
    <w:rsid w:val="00E87FB2"/>
    <w:rsid w:val="00E900AD"/>
    <w:rsid w:val="00E917AF"/>
    <w:rsid w:val="00E91DDF"/>
    <w:rsid w:val="00E921B5"/>
    <w:rsid w:val="00E92A4B"/>
    <w:rsid w:val="00E9308F"/>
    <w:rsid w:val="00E93E84"/>
    <w:rsid w:val="00E950D2"/>
    <w:rsid w:val="00E95976"/>
    <w:rsid w:val="00E97885"/>
    <w:rsid w:val="00EA079E"/>
    <w:rsid w:val="00EA0ABF"/>
    <w:rsid w:val="00EA14F1"/>
    <w:rsid w:val="00EA2DE8"/>
    <w:rsid w:val="00EA2F2A"/>
    <w:rsid w:val="00EA359F"/>
    <w:rsid w:val="00EA3A7B"/>
    <w:rsid w:val="00EA4C3A"/>
    <w:rsid w:val="00EA61AF"/>
    <w:rsid w:val="00EA7CCE"/>
    <w:rsid w:val="00EA7DCD"/>
    <w:rsid w:val="00EB09A5"/>
    <w:rsid w:val="00EB1EDD"/>
    <w:rsid w:val="00EB382C"/>
    <w:rsid w:val="00EB44C4"/>
    <w:rsid w:val="00EB5AA4"/>
    <w:rsid w:val="00EB63E8"/>
    <w:rsid w:val="00EB6763"/>
    <w:rsid w:val="00EB68EE"/>
    <w:rsid w:val="00EC0B3B"/>
    <w:rsid w:val="00EC0E3C"/>
    <w:rsid w:val="00EC1197"/>
    <w:rsid w:val="00EC18B2"/>
    <w:rsid w:val="00EC1BD5"/>
    <w:rsid w:val="00EC1D68"/>
    <w:rsid w:val="00EC1E0F"/>
    <w:rsid w:val="00EC25D4"/>
    <w:rsid w:val="00EC26C2"/>
    <w:rsid w:val="00EC28E1"/>
    <w:rsid w:val="00EC313C"/>
    <w:rsid w:val="00EC3478"/>
    <w:rsid w:val="00EC376D"/>
    <w:rsid w:val="00EC3AE4"/>
    <w:rsid w:val="00EC6332"/>
    <w:rsid w:val="00EC639C"/>
    <w:rsid w:val="00EC65E1"/>
    <w:rsid w:val="00EC7A5B"/>
    <w:rsid w:val="00ED01A6"/>
    <w:rsid w:val="00ED17EF"/>
    <w:rsid w:val="00ED1ABD"/>
    <w:rsid w:val="00ED34B9"/>
    <w:rsid w:val="00ED4899"/>
    <w:rsid w:val="00ED4F80"/>
    <w:rsid w:val="00ED5CDA"/>
    <w:rsid w:val="00ED6FC4"/>
    <w:rsid w:val="00ED7A81"/>
    <w:rsid w:val="00EE099C"/>
    <w:rsid w:val="00EE0A63"/>
    <w:rsid w:val="00EE1368"/>
    <w:rsid w:val="00EE1ABD"/>
    <w:rsid w:val="00EE1D7B"/>
    <w:rsid w:val="00EE28FF"/>
    <w:rsid w:val="00EE32F3"/>
    <w:rsid w:val="00EE3352"/>
    <w:rsid w:val="00EE3A1D"/>
    <w:rsid w:val="00EE411C"/>
    <w:rsid w:val="00EE4F84"/>
    <w:rsid w:val="00EE5D61"/>
    <w:rsid w:val="00EE7008"/>
    <w:rsid w:val="00EE7561"/>
    <w:rsid w:val="00EF0E52"/>
    <w:rsid w:val="00EF10BC"/>
    <w:rsid w:val="00EF19EB"/>
    <w:rsid w:val="00EF26CF"/>
    <w:rsid w:val="00EF4746"/>
    <w:rsid w:val="00EF5F0A"/>
    <w:rsid w:val="00EF6304"/>
    <w:rsid w:val="00EF681C"/>
    <w:rsid w:val="00EF75C5"/>
    <w:rsid w:val="00F00529"/>
    <w:rsid w:val="00F009B2"/>
    <w:rsid w:val="00F01063"/>
    <w:rsid w:val="00F04BEE"/>
    <w:rsid w:val="00F05538"/>
    <w:rsid w:val="00F05D40"/>
    <w:rsid w:val="00F064E2"/>
    <w:rsid w:val="00F070B8"/>
    <w:rsid w:val="00F1012E"/>
    <w:rsid w:val="00F107AB"/>
    <w:rsid w:val="00F10B0C"/>
    <w:rsid w:val="00F10F88"/>
    <w:rsid w:val="00F11C18"/>
    <w:rsid w:val="00F1239F"/>
    <w:rsid w:val="00F12BA6"/>
    <w:rsid w:val="00F12C5F"/>
    <w:rsid w:val="00F12CBF"/>
    <w:rsid w:val="00F1317E"/>
    <w:rsid w:val="00F13AB0"/>
    <w:rsid w:val="00F14238"/>
    <w:rsid w:val="00F1444A"/>
    <w:rsid w:val="00F14DBC"/>
    <w:rsid w:val="00F152BC"/>
    <w:rsid w:val="00F1633D"/>
    <w:rsid w:val="00F16655"/>
    <w:rsid w:val="00F171B3"/>
    <w:rsid w:val="00F206B1"/>
    <w:rsid w:val="00F210EA"/>
    <w:rsid w:val="00F21F41"/>
    <w:rsid w:val="00F249D5"/>
    <w:rsid w:val="00F24B4F"/>
    <w:rsid w:val="00F2550F"/>
    <w:rsid w:val="00F26769"/>
    <w:rsid w:val="00F2759F"/>
    <w:rsid w:val="00F30D5C"/>
    <w:rsid w:val="00F34F3E"/>
    <w:rsid w:val="00F36190"/>
    <w:rsid w:val="00F36A11"/>
    <w:rsid w:val="00F378E0"/>
    <w:rsid w:val="00F40B19"/>
    <w:rsid w:val="00F40E43"/>
    <w:rsid w:val="00F410BC"/>
    <w:rsid w:val="00F41173"/>
    <w:rsid w:val="00F41841"/>
    <w:rsid w:val="00F41EE0"/>
    <w:rsid w:val="00F42FBE"/>
    <w:rsid w:val="00F4480F"/>
    <w:rsid w:val="00F45B5F"/>
    <w:rsid w:val="00F463A3"/>
    <w:rsid w:val="00F47D18"/>
    <w:rsid w:val="00F510C0"/>
    <w:rsid w:val="00F519D0"/>
    <w:rsid w:val="00F51A36"/>
    <w:rsid w:val="00F51E68"/>
    <w:rsid w:val="00F520BF"/>
    <w:rsid w:val="00F535C5"/>
    <w:rsid w:val="00F535F9"/>
    <w:rsid w:val="00F53BFF"/>
    <w:rsid w:val="00F54553"/>
    <w:rsid w:val="00F545B8"/>
    <w:rsid w:val="00F57BA5"/>
    <w:rsid w:val="00F62676"/>
    <w:rsid w:val="00F63F94"/>
    <w:rsid w:val="00F640E8"/>
    <w:rsid w:val="00F6454E"/>
    <w:rsid w:val="00F6556D"/>
    <w:rsid w:val="00F67790"/>
    <w:rsid w:val="00F67DFD"/>
    <w:rsid w:val="00F718C5"/>
    <w:rsid w:val="00F7257A"/>
    <w:rsid w:val="00F74188"/>
    <w:rsid w:val="00F74F91"/>
    <w:rsid w:val="00F75A0B"/>
    <w:rsid w:val="00F75C81"/>
    <w:rsid w:val="00F75D36"/>
    <w:rsid w:val="00F76570"/>
    <w:rsid w:val="00F77232"/>
    <w:rsid w:val="00F7776E"/>
    <w:rsid w:val="00F77FA4"/>
    <w:rsid w:val="00F801A8"/>
    <w:rsid w:val="00F81723"/>
    <w:rsid w:val="00F85142"/>
    <w:rsid w:val="00F8538D"/>
    <w:rsid w:val="00F8733C"/>
    <w:rsid w:val="00F90284"/>
    <w:rsid w:val="00F90A09"/>
    <w:rsid w:val="00F91B71"/>
    <w:rsid w:val="00F9200E"/>
    <w:rsid w:val="00F936C2"/>
    <w:rsid w:val="00F94C13"/>
    <w:rsid w:val="00F97306"/>
    <w:rsid w:val="00FA0D94"/>
    <w:rsid w:val="00FA2E59"/>
    <w:rsid w:val="00FA323F"/>
    <w:rsid w:val="00FA43A7"/>
    <w:rsid w:val="00FA4625"/>
    <w:rsid w:val="00FA4BD1"/>
    <w:rsid w:val="00FA4F45"/>
    <w:rsid w:val="00FA6915"/>
    <w:rsid w:val="00FA7C83"/>
    <w:rsid w:val="00FB0B82"/>
    <w:rsid w:val="00FB0C51"/>
    <w:rsid w:val="00FB19B2"/>
    <w:rsid w:val="00FB1D43"/>
    <w:rsid w:val="00FB256D"/>
    <w:rsid w:val="00FB2FAF"/>
    <w:rsid w:val="00FB3796"/>
    <w:rsid w:val="00FB3AF8"/>
    <w:rsid w:val="00FB40F5"/>
    <w:rsid w:val="00FB45B0"/>
    <w:rsid w:val="00FB6A02"/>
    <w:rsid w:val="00FB73C8"/>
    <w:rsid w:val="00FB7478"/>
    <w:rsid w:val="00FC07B3"/>
    <w:rsid w:val="00FC15C5"/>
    <w:rsid w:val="00FC1DA2"/>
    <w:rsid w:val="00FC2EB0"/>
    <w:rsid w:val="00FC38F3"/>
    <w:rsid w:val="00FC49E9"/>
    <w:rsid w:val="00FC4BC2"/>
    <w:rsid w:val="00FC5EB3"/>
    <w:rsid w:val="00FC6BC1"/>
    <w:rsid w:val="00FC74A4"/>
    <w:rsid w:val="00FD04F5"/>
    <w:rsid w:val="00FD09B4"/>
    <w:rsid w:val="00FD1561"/>
    <w:rsid w:val="00FD1C0E"/>
    <w:rsid w:val="00FD1CAF"/>
    <w:rsid w:val="00FD20FE"/>
    <w:rsid w:val="00FD245B"/>
    <w:rsid w:val="00FD261B"/>
    <w:rsid w:val="00FD2961"/>
    <w:rsid w:val="00FD2C92"/>
    <w:rsid w:val="00FD31BE"/>
    <w:rsid w:val="00FD369B"/>
    <w:rsid w:val="00FD39CA"/>
    <w:rsid w:val="00FD3B68"/>
    <w:rsid w:val="00FD3BDE"/>
    <w:rsid w:val="00FD466A"/>
    <w:rsid w:val="00FD55A4"/>
    <w:rsid w:val="00FD5A6F"/>
    <w:rsid w:val="00FD5A70"/>
    <w:rsid w:val="00FD6165"/>
    <w:rsid w:val="00FD697E"/>
    <w:rsid w:val="00FE0261"/>
    <w:rsid w:val="00FE06A2"/>
    <w:rsid w:val="00FE1975"/>
    <w:rsid w:val="00FE36A7"/>
    <w:rsid w:val="00FE5808"/>
    <w:rsid w:val="00FE6D7F"/>
    <w:rsid w:val="00FE75E1"/>
    <w:rsid w:val="00FF0C0D"/>
    <w:rsid w:val="00FF129C"/>
    <w:rsid w:val="00FF18AB"/>
    <w:rsid w:val="00FF225B"/>
    <w:rsid w:val="00FF3354"/>
    <w:rsid w:val="00FF3B18"/>
    <w:rsid w:val="00FF3D97"/>
    <w:rsid w:val="00FF447D"/>
    <w:rsid w:val="00FF44C6"/>
    <w:rsid w:val="00FF59D1"/>
    <w:rsid w:val="00FF6926"/>
    <w:rsid w:val="00FF78F6"/>
    <w:rsid w:val="00FF7969"/>
    <w:rsid w:val="5D3A68A6"/>
    <w:rsid w:val="65472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32DCD8"/>
  <w15:docId w15:val="{11543704-580E-4B70-9242-E7AE188C8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Body Text Indent" w:qFormat="1"/>
    <w:lsdException w:name="Subtitle" w:qFormat="1"/>
    <w:lsdException w:name="Dat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40" w:line="360" w:lineRule="auto"/>
      <w:ind w:leftChars="200" w:left="200" w:rightChars="100" w:right="100"/>
      <w:jc w:val="left"/>
      <w:outlineLvl w:val="1"/>
    </w:pPr>
    <w:rPr>
      <w:rFonts w:ascii="Arial" w:hAnsi="Arial"/>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annotation text"/>
    <w:basedOn w:val="a"/>
    <w:link w:val="a5"/>
    <w:qFormat/>
    <w:pPr>
      <w:jc w:val="left"/>
    </w:pPr>
    <w:rPr>
      <w:lang w:val="zh-CN"/>
    </w:rPr>
  </w:style>
  <w:style w:type="paragraph" w:styleId="a6">
    <w:name w:val="Body Text Indent"/>
    <w:basedOn w:val="a"/>
    <w:qFormat/>
    <w:pPr>
      <w:spacing w:beforeLines="50" w:before="156"/>
      <w:ind w:firstLine="482"/>
    </w:pPr>
    <w:rPr>
      <w:rFonts w:ascii="宋体" w:hAnsi="宋体"/>
      <w:szCs w:val="21"/>
    </w:rPr>
  </w:style>
  <w:style w:type="paragraph" w:styleId="a7">
    <w:name w:val="Date"/>
    <w:basedOn w:val="a"/>
    <w:next w:val="a"/>
    <w:link w:val="a8"/>
    <w:qFormat/>
    <w:pPr>
      <w:ind w:leftChars="2500" w:left="100"/>
    </w:pPr>
    <w:rPr>
      <w:lang w:val="zh-CN"/>
    </w:rPr>
  </w:style>
  <w:style w:type="paragraph" w:styleId="a9">
    <w:name w:val="Balloon Text"/>
    <w:basedOn w:val="a"/>
    <w:semiHidden/>
    <w:qFormat/>
    <w:rPr>
      <w:sz w:val="18"/>
      <w:szCs w:val="18"/>
    </w:rPr>
  </w:style>
  <w:style w:type="paragraph" w:styleId="aa">
    <w:name w:val="footer"/>
    <w:basedOn w:val="a"/>
    <w:link w:val="ab"/>
    <w:uiPriority w:val="99"/>
    <w:qFormat/>
    <w:pPr>
      <w:tabs>
        <w:tab w:val="center" w:pos="4153"/>
        <w:tab w:val="right" w:pos="8306"/>
      </w:tabs>
      <w:snapToGrid w:val="0"/>
      <w:jc w:val="left"/>
    </w:pPr>
    <w:rPr>
      <w:sz w:val="18"/>
      <w:szCs w:val="18"/>
      <w:lang w:val="zh-CN"/>
    </w:rPr>
  </w:style>
  <w:style w:type="paragraph" w:styleId="ac">
    <w:name w:val="header"/>
    <w:basedOn w:val="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pPr>
      <w:tabs>
        <w:tab w:val="right" w:leader="dot" w:pos="9628"/>
      </w:tabs>
      <w:spacing w:line="360" w:lineRule="auto"/>
      <w:jc w:val="left"/>
    </w:pPr>
  </w:style>
  <w:style w:type="paragraph" w:styleId="ad">
    <w:name w:val="Subtitle"/>
    <w:basedOn w:val="a"/>
    <w:next w:val="a"/>
    <w:link w:val="ae"/>
    <w:qFormat/>
    <w:pPr>
      <w:spacing w:line="360" w:lineRule="auto"/>
      <w:ind w:leftChars="200" w:left="200"/>
      <w:jc w:val="left"/>
      <w:outlineLvl w:val="1"/>
    </w:pPr>
    <w:rPr>
      <w:rFonts w:ascii="Cambria" w:hAnsi="Cambria"/>
      <w:b/>
      <w:bCs/>
      <w:kern w:val="28"/>
      <w:szCs w:val="32"/>
      <w:lang w:val="zh-CN"/>
    </w:rPr>
  </w:style>
  <w:style w:type="paragraph" w:styleId="TOC2">
    <w:name w:val="toc 2"/>
    <w:basedOn w:val="a"/>
    <w:next w:val="a"/>
    <w:uiPriority w:val="39"/>
    <w:qFormat/>
    <w:pPr>
      <w:ind w:leftChars="200" w:left="420"/>
    </w:pPr>
  </w:style>
  <w:style w:type="paragraph" w:styleId="af">
    <w:name w:val="Title"/>
    <w:basedOn w:val="a"/>
    <w:next w:val="a"/>
    <w:link w:val="af0"/>
    <w:qFormat/>
    <w:pPr>
      <w:spacing w:before="240" w:after="60"/>
      <w:jc w:val="center"/>
      <w:outlineLvl w:val="0"/>
    </w:pPr>
    <w:rPr>
      <w:rFonts w:ascii="Cambria" w:hAnsi="Cambria"/>
      <w:b/>
      <w:bCs/>
      <w:sz w:val="32"/>
      <w:szCs w:val="32"/>
      <w:lang w:val="zh-CN"/>
    </w:rPr>
  </w:style>
  <w:style w:type="paragraph" w:styleId="af1">
    <w:name w:val="annotation subject"/>
    <w:basedOn w:val="a4"/>
    <w:next w:val="a4"/>
    <w:link w:val="af2"/>
    <w:qFormat/>
    <w:rPr>
      <w:b/>
      <w:bCs/>
    </w:rPr>
  </w:style>
  <w:style w:type="table" w:styleId="af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qFormat/>
    <w:rPr>
      <w:sz w:val="21"/>
      <w:szCs w:val="21"/>
    </w:rPr>
  </w:style>
  <w:style w:type="character" w:customStyle="1" w:styleId="a8">
    <w:name w:val="日期 字符"/>
    <w:link w:val="a7"/>
    <w:qFormat/>
    <w:rPr>
      <w:kern w:val="2"/>
      <w:sz w:val="21"/>
      <w:szCs w:val="24"/>
    </w:rPr>
  </w:style>
  <w:style w:type="character" w:customStyle="1" w:styleId="af0">
    <w:name w:val="标题 字符"/>
    <w:link w:val="af"/>
    <w:rPr>
      <w:rFonts w:ascii="Cambria" w:hAnsi="Cambria" w:cs="Times New Roman"/>
      <w:b/>
      <w:bCs/>
      <w:kern w:val="2"/>
      <w:sz w:val="32"/>
      <w:szCs w:val="32"/>
    </w:rPr>
  </w:style>
  <w:style w:type="character" w:customStyle="1" w:styleId="ae">
    <w:name w:val="副标题 字符"/>
    <w:link w:val="ad"/>
    <w:qFormat/>
    <w:rPr>
      <w:rFonts w:ascii="Cambria" w:hAnsi="Cambria" w:cs="Times New Roman"/>
      <w:b/>
      <w:bCs/>
      <w:kern w:val="28"/>
      <w:sz w:val="21"/>
      <w:szCs w:val="32"/>
    </w:rPr>
  </w:style>
  <w:style w:type="paragraph" w:customStyle="1" w:styleId="TOC10">
    <w:name w:val="TOC 标题1"/>
    <w:basedOn w:val="1"/>
    <w:next w:val="a"/>
    <w:uiPriority w:val="39"/>
    <w:semiHidden/>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3">
    <w:name w:val="样式3"/>
    <w:basedOn w:val="a"/>
    <w:link w:val="3Char"/>
    <w:qFormat/>
    <w:pPr>
      <w:autoSpaceDE w:val="0"/>
      <w:autoSpaceDN w:val="0"/>
      <w:adjustRightInd w:val="0"/>
      <w:spacing w:beforeLines="50" w:before="40" w:afterLines="50" w:after="40" w:line="360" w:lineRule="exact"/>
      <w:ind w:firstLineChars="200" w:firstLine="360"/>
    </w:pPr>
    <w:rPr>
      <w:rFonts w:ascii="宋体" w:hAnsi="宋体"/>
      <w:kern w:val="0"/>
      <w:sz w:val="18"/>
      <w:szCs w:val="18"/>
      <w:lang w:val="zh-CN"/>
    </w:rPr>
  </w:style>
  <w:style w:type="character" w:customStyle="1" w:styleId="3Char">
    <w:name w:val="样式3 Char"/>
    <w:link w:val="3"/>
    <w:qFormat/>
    <w:rPr>
      <w:rFonts w:ascii="宋体" w:hAnsi="宋体"/>
      <w:sz w:val="18"/>
      <w:szCs w:val="18"/>
      <w:lang w:val="zh-CN"/>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b">
    <w:name w:val="页脚 字符"/>
    <w:link w:val="aa"/>
    <w:uiPriority w:val="99"/>
    <w:qFormat/>
    <w:rPr>
      <w:kern w:val="2"/>
      <w:sz w:val="18"/>
      <w:szCs w:val="18"/>
    </w:rPr>
  </w:style>
  <w:style w:type="character" w:customStyle="1" w:styleId="a5">
    <w:name w:val="批注文字 字符"/>
    <w:link w:val="a4"/>
    <w:qFormat/>
    <w:rPr>
      <w:kern w:val="2"/>
      <w:sz w:val="21"/>
      <w:szCs w:val="24"/>
    </w:rPr>
  </w:style>
  <w:style w:type="character" w:customStyle="1" w:styleId="af2">
    <w:name w:val="批注主题 字符"/>
    <w:link w:val="af1"/>
    <w:qFormat/>
    <w:rPr>
      <w:b/>
      <w:bCs/>
      <w:kern w:val="2"/>
      <w:sz w:val="21"/>
      <w:szCs w:val="24"/>
    </w:rPr>
  </w:style>
  <w:style w:type="paragraph" w:styleId="af7">
    <w:name w:val="Revision"/>
    <w:hidden/>
    <w:uiPriority w:val="99"/>
    <w:semiHidden/>
    <w:rsid w:val="004833D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4F0A20-643C-4A1D-86D4-5F4691588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709</Words>
  <Characters>4045</Characters>
  <Application>Microsoft Office Word</Application>
  <DocSecurity>0</DocSecurity>
  <Lines>33</Lines>
  <Paragraphs>9</Paragraphs>
  <ScaleCrop>false</ScaleCrop>
  <Company>Dong Jian</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二零零五年度财务决算及二零零六年财务预算报告</dc:title>
  <dc:creator>Administrator</dc:creator>
  <cp:lastModifiedBy>林德生</cp:lastModifiedBy>
  <cp:revision>9</cp:revision>
  <cp:lastPrinted>2021-03-17T00:40:00Z</cp:lastPrinted>
  <dcterms:created xsi:type="dcterms:W3CDTF">2026-03-26T06:19:00Z</dcterms:created>
  <dcterms:modified xsi:type="dcterms:W3CDTF">2026-03-27T09:48:00Z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CDFDFBA0774B48A58827163FA44F2AB8</vt:lpwstr>
  </property>
</Properties>
</file>