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5A4C8" w14:textId="77777777" w:rsidR="00081B83" w:rsidRDefault="00000000">
      <w:pPr>
        <w:jc w:val="center"/>
        <w:outlineLvl w:val="0"/>
        <w:rPr>
          <w:b/>
          <w:sz w:val="28"/>
          <w:szCs w:val="28"/>
        </w:rPr>
      </w:pPr>
      <w:r>
        <w:rPr>
          <w:b/>
          <w:sz w:val="28"/>
          <w:szCs w:val="28"/>
        </w:rPr>
        <w:t>东江环保股份有限公司</w:t>
      </w:r>
    </w:p>
    <w:p w14:paraId="0EBF6FDD" w14:textId="77777777" w:rsidR="00081B83" w:rsidRDefault="00000000">
      <w:pPr>
        <w:jc w:val="center"/>
        <w:outlineLvl w:val="0"/>
        <w:rPr>
          <w:b/>
          <w:sz w:val="28"/>
          <w:szCs w:val="28"/>
        </w:rPr>
      </w:pPr>
      <w:r>
        <w:rPr>
          <w:rFonts w:hint="eastAsia"/>
          <w:b/>
          <w:sz w:val="28"/>
          <w:szCs w:val="28"/>
        </w:rPr>
        <w:t>2025</w:t>
      </w:r>
      <w:r>
        <w:rPr>
          <w:b/>
          <w:sz w:val="28"/>
          <w:szCs w:val="28"/>
        </w:rPr>
        <w:t>年度内部控制自我评价报告</w:t>
      </w:r>
    </w:p>
    <w:p w14:paraId="613337A4" w14:textId="77777777" w:rsidR="00081B83" w:rsidRDefault="00000000">
      <w:pPr>
        <w:spacing w:line="360" w:lineRule="auto"/>
        <w:ind w:rightChars="310" w:right="651" w:firstLineChars="135" w:firstLine="283"/>
      </w:pPr>
      <w:r>
        <w:t>东江环保股份有限公司全体股东：</w:t>
      </w:r>
    </w:p>
    <w:p w14:paraId="04EA7DED" w14:textId="77777777" w:rsidR="00081B83" w:rsidRDefault="00000000">
      <w:pPr>
        <w:spacing w:line="360" w:lineRule="auto"/>
        <w:ind w:leftChars="135" w:left="283" w:rightChars="242" w:right="508" w:firstLineChars="200" w:firstLine="420"/>
      </w:pPr>
      <w:r>
        <w:t>根据《企业内部控制基本规范》及其配套指引的规定和其他内部控制监管要求</w:t>
      </w:r>
      <w:r>
        <w:rPr>
          <w:rFonts w:hint="eastAsia"/>
        </w:rPr>
        <w:t>（</w:t>
      </w:r>
      <w:r>
        <w:t>以下简称企业内部控制规范体系</w:t>
      </w:r>
      <w:r>
        <w:rPr>
          <w:rFonts w:hint="eastAsia"/>
        </w:rPr>
        <w:t>）</w:t>
      </w:r>
      <w:r>
        <w:t>，结合东江环保股份有限公司</w:t>
      </w:r>
      <w:r>
        <w:rPr>
          <w:rFonts w:hint="eastAsia"/>
        </w:rPr>
        <w:t>（</w:t>
      </w:r>
      <w:r>
        <w:t>以下简称</w:t>
      </w:r>
      <w:r>
        <w:rPr>
          <w:rFonts w:hint="eastAsia"/>
        </w:rPr>
        <w:t>“</w:t>
      </w:r>
      <w:r>
        <w:t>本公司</w:t>
      </w:r>
      <w:r>
        <w:rPr>
          <w:rFonts w:hint="eastAsia"/>
        </w:rPr>
        <w:t>”</w:t>
      </w:r>
      <w:r>
        <w:t>或</w:t>
      </w:r>
      <w:r>
        <w:rPr>
          <w:rFonts w:hint="eastAsia"/>
        </w:rPr>
        <w:t>“</w:t>
      </w:r>
      <w:r>
        <w:t>公司</w:t>
      </w:r>
      <w:r>
        <w:rPr>
          <w:rFonts w:hint="eastAsia"/>
        </w:rPr>
        <w:t>”）</w:t>
      </w:r>
      <w:r>
        <w:t>内部控制制度和评价办法，在内部控制日常监督和专项监督的基础上，</w:t>
      </w:r>
      <w:r>
        <w:rPr>
          <w:rFonts w:hint="eastAsia"/>
        </w:rPr>
        <w:t>我们对</w:t>
      </w:r>
      <w:r>
        <w:t>公司</w:t>
      </w:r>
      <w:r>
        <w:rPr>
          <w:rFonts w:hint="eastAsia"/>
        </w:rPr>
        <w:t>2025</w:t>
      </w:r>
      <w:r>
        <w:t>年</w:t>
      </w:r>
      <w:r>
        <w:t>12</w:t>
      </w:r>
      <w:r>
        <w:t>月</w:t>
      </w:r>
      <w:r>
        <w:t>31</w:t>
      </w:r>
      <w:r>
        <w:t>日</w:t>
      </w:r>
      <w:r>
        <w:rPr>
          <w:rFonts w:hint="eastAsia"/>
        </w:rPr>
        <w:t>（</w:t>
      </w:r>
      <w:r>
        <w:t>内部控制评价报告基准日</w:t>
      </w:r>
      <w:r>
        <w:rPr>
          <w:rFonts w:hint="eastAsia"/>
        </w:rPr>
        <w:t>）</w:t>
      </w:r>
      <w:r>
        <w:t>的内部控制有效性进行了评价。</w:t>
      </w:r>
    </w:p>
    <w:p w14:paraId="32ED9D6D" w14:textId="77777777" w:rsidR="00081B83" w:rsidRDefault="00000000">
      <w:pPr>
        <w:pStyle w:val="af"/>
        <w:numPr>
          <w:ilvl w:val="0"/>
          <w:numId w:val="1"/>
        </w:numPr>
        <w:spacing w:line="360" w:lineRule="auto"/>
        <w:ind w:left="200" w:right="200" w:firstLine="482"/>
        <w:outlineLvl w:val="0"/>
      </w:pPr>
      <w:r>
        <w:rPr>
          <w:b/>
          <w:sz w:val="24"/>
          <w:szCs w:val="24"/>
        </w:rPr>
        <w:t>重要声明</w:t>
      </w:r>
    </w:p>
    <w:p w14:paraId="60BD3E81" w14:textId="77777777" w:rsidR="00081B83" w:rsidRDefault="00000000">
      <w:pPr>
        <w:spacing w:line="360" w:lineRule="auto"/>
        <w:ind w:leftChars="135" w:left="283" w:rightChars="242" w:right="508" w:firstLineChars="200" w:firstLine="420"/>
      </w:pPr>
      <w:r>
        <w:rPr>
          <w:rFonts w:hint="eastAsia"/>
        </w:rPr>
        <w:t>董事会负责</w:t>
      </w:r>
      <w:r>
        <w:t>按照企业内部控制规范体系的规定，建立健全和有效实施内部控制，评价其有效性，并如实披露内部控制评价报告。经理层负责组织领导企业内部控制的日常运行。公司董事会及董事、高级管理人员保证本报告内容不存在任何虚假记载、误导性陈述或重大遗漏，并对报告内容的真实性、准确性和完整性承担个别及连带法律责任。</w:t>
      </w:r>
    </w:p>
    <w:p w14:paraId="5713C7E2" w14:textId="77777777" w:rsidR="00081B83" w:rsidRDefault="00000000">
      <w:pPr>
        <w:spacing w:line="360" w:lineRule="auto"/>
        <w:ind w:leftChars="135" w:left="283" w:rightChars="242" w:right="508" w:firstLineChars="200" w:firstLine="420"/>
      </w:pPr>
      <w:r>
        <w:t>公司内部控制的目标是合理保证经营管理合法合规、资产安全、财务报告及相关信息真实完整，提高经营效率和效果，促进实现发展战略。由于内部控制存在的固有局限性，故仅能为实现上述目标提供合理保证。此外，由于情况的变化可能导致内部控制变得不恰当，或对控制政策和程序遵循的程度降低，根据内部控制评价结果推测未来内部控制的有效性具有一定的风险。</w:t>
      </w:r>
    </w:p>
    <w:p w14:paraId="2CE80DF5" w14:textId="77777777" w:rsidR="00081B83" w:rsidRDefault="00000000">
      <w:pPr>
        <w:pStyle w:val="af"/>
        <w:numPr>
          <w:ilvl w:val="0"/>
          <w:numId w:val="1"/>
        </w:numPr>
        <w:spacing w:line="360" w:lineRule="auto"/>
        <w:ind w:left="200" w:right="200" w:firstLine="482"/>
        <w:outlineLvl w:val="0"/>
        <w:rPr>
          <w:b/>
          <w:sz w:val="24"/>
          <w:szCs w:val="24"/>
        </w:rPr>
      </w:pPr>
      <w:r>
        <w:rPr>
          <w:b/>
          <w:sz w:val="24"/>
          <w:szCs w:val="24"/>
        </w:rPr>
        <w:t>内部控制评价结论</w:t>
      </w:r>
    </w:p>
    <w:p w14:paraId="5D6C3636" w14:textId="77777777" w:rsidR="00081B83" w:rsidRDefault="00000000">
      <w:pPr>
        <w:spacing w:line="360" w:lineRule="auto"/>
        <w:ind w:leftChars="135" w:left="283" w:rightChars="242" w:right="508" w:firstLineChars="200" w:firstLine="420"/>
      </w:pPr>
      <w:r>
        <w:t>根据公司财务报告内部控制重大缺陷的认定情况，于内部控制评价报告基准日，</w:t>
      </w:r>
      <w:r>
        <w:rPr>
          <w:rFonts w:hint="eastAsia"/>
        </w:rPr>
        <w:t>公司</w:t>
      </w:r>
      <w:r>
        <w:t>不存在财务报告内部控制重大缺陷。董事会认为，公司已按照企业内部控制规范体系和相关规定的要求在所有重大方面保持了有效的财务报告内部控制。</w:t>
      </w:r>
    </w:p>
    <w:p w14:paraId="1B689707" w14:textId="77777777" w:rsidR="00081B83" w:rsidRDefault="00000000">
      <w:pPr>
        <w:spacing w:line="360" w:lineRule="auto"/>
        <w:ind w:leftChars="135" w:left="283" w:rightChars="242" w:right="508" w:firstLineChars="200" w:firstLine="420"/>
      </w:pPr>
      <w:r>
        <w:t>根据公司非财务报告内部控制重大缺陷认定情况，于内部控制评价报告基准日，公司未发现非财务报告内部控制重大缺陷。</w:t>
      </w:r>
    </w:p>
    <w:p w14:paraId="1676A01E" w14:textId="77777777" w:rsidR="00081B83" w:rsidRDefault="00000000">
      <w:pPr>
        <w:spacing w:line="360" w:lineRule="auto"/>
        <w:ind w:leftChars="135" w:left="283" w:rightChars="242" w:right="508" w:firstLineChars="200" w:firstLine="420"/>
      </w:pPr>
      <w:r>
        <w:t>自内部控制评价报告基准日至内部控制评价报告发出日之间未发生影响内部控制有效性评价结论的因素。</w:t>
      </w:r>
    </w:p>
    <w:p w14:paraId="5FE957B1" w14:textId="77777777" w:rsidR="00081B83" w:rsidRDefault="00000000">
      <w:pPr>
        <w:spacing w:line="360" w:lineRule="auto"/>
        <w:ind w:firstLineChars="200" w:firstLine="482"/>
        <w:outlineLvl w:val="0"/>
        <w:rPr>
          <w:b/>
          <w:sz w:val="24"/>
          <w:szCs w:val="24"/>
        </w:rPr>
      </w:pPr>
      <w:r>
        <w:rPr>
          <w:b/>
          <w:sz w:val="24"/>
          <w:szCs w:val="24"/>
        </w:rPr>
        <w:t>三、内部控制评价工作情况</w:t>
      </w:r>
    </w:p>
    <w:p w14:paraId="15D6155E" w14:textId="77777777" w:rsidR="00081B83" w:rsidRDefault="00000000">
      <w:pPr>
        <w:spacing w:line="360" w:lineRule="auto"/>
        <w:ind w:firstLineChars="200" w:firstLine="482"/>
        <w:outlineLvl w:val="1"/>
        <w:rPr>
          <w:b/>
          <w:sz w:val="24"/>
          <w:szCs w:val="24"/>
        </w:rPr>
      </w:pPr>
      <w:r>
        <w:rPr>
          <w:b/>
          <w:sz w:val="24"/>
          <w:szCs w:val="24"/>
        </w:rPr>
        <w:t>（一）内部控制评价范围</w:t>
      </w:r>
    </w:p>
    <w:p w14:paraId="50FE787C" w14:textId="77777777" w:rsidR="00081B83" w:rsidRDefault="00000000">
      <w:pPr>
        <w:spacing w:line="360" w:lineRule="auto"/>
        <w:ind w:leftChars="135" w:left="283" w:rightChars="242" w:right="508" w:firstLineChars="200" w:firstLine="420"/>
      </w:pPr>
      <w:r>
        <w:lastRenderedPageBreak/>
        <w:t>公司按照风险导向原则确定纳入评价范围的主要单位、业务和事项以及高风险领域。</w:t>
      </w:r>
    </w:p>
    <w:p w14:paraId="4D6115DF" w14:textId="77777777" w:rsidR="00081B83" w:rsidRDefault="00000000">
      <w:pPr>
        <w:spacing w:line="360" w:lineRule="auto"/>
        <w:ind w:leftChars="135" w:left="283" w:rightChars="242" w:right="508" w:firstLineChars="200" w:firstLine="420"/>
      </w:pPr>
      <w:r>
        <w:t>1</w:t>
      </w:r>
      <w:r>
        <w:t>、纳入评价范围的主要单位包括公司及全部控股子公司，业务范围包括工业废物和市政废物的收集、运输、处理处置与资源综合回收利用，</w:t>
      </w:r>
      <w:r>
        <w:rPr>
          <w:rFonts w:hint="eastAsia"/>
        </w:rPr>
        <w:t>稀贵金属回收利用</w:t>
      </w:r>
      <w:r>
        <w:t>以及环境保护设施工程的技术咨询、设计、建设及运营管理等。纳入评价范围单位</w:t>
      </w:r>
      <w:r>
        <w:rPr>
          <w:rFonts w:hint="eastAsia"/>
        </w:rPr>
        <w:t>的</w:t>
      </w:r>
      <w:r>
        <w:t>资产总额占公司合并财务报表资产总额的</w:t>
      </w:r>
      <w:r>
        <w:t>100%</w:t>
      </w:r>
      <w:r>
        <w:t>，营业收入合计占公司合并财务报表营业收入总额的</w:t>
      </w:r>
      <w:r>
        <w:t>100%</w:t>
      </w:r>
      <w:r>
        <w:t>。</w:t>
      </w:r>
    </w:p>
    <w:p w14:paraId="2090EA46" w14:textId="77777777" w:rsidR="00081B83" w:rsidRDefault="00000000">
      <w:pPr>
        <w:spacing w:line="360" w:lineRule="auto"/>
        <w:ind w:leftChars="135" w:left="283" w:rightChars="242" w:right="508" w:firstLineChars="200" w:firstLine="420"/>
      </w:pPr>
      <w:r>
        <w:t>2</w:t>
      </w:r>
      <w:r>
        <w:t>、纳入评价范围的主要业务和事项包括：组织架构、企业文化、社会责任、内外部信息传递、发展战略、审计稽核、资产管理、信息系统一般控制、合同及档案管理、人力资源管理、全面预算管理、资金管理、财务报告、投资管理、采购管理、销售管理、项目管理、研发与技术管理、工业废物业务管理、</w:t>
      </w:r>
      <w:r>
        <w:rPr>
          <w:rFonts w:hint="eastAsia"/>
        </w:rPr>
        <w:t>稀贵金属回收利用业务管理、</w:t>
      </w:r>
      <w:r>
        <w:t>环保服务工程建设管理、环保服务运营管理、市政废物业务管理等。重点关注的高风险领域主要包括资产管理、资金管理、采购管理、销售管理、财务报告、投资管理、预算管理及业务管理等。</w:t>
      </w:r>
    </w:p>
    <w:p w14:paraId="7278463C" w14:textId="77777777" w:rsidR="00081B83" w:rsidRDefault="00000000">
      <w:pPr>
        <w:spacing w:line="360" w:lineRule="auto"/>
        <w:ind w:leftChars="135" w:left="283" w:rightChars="242" w:right="508" w:firstLineChars="200" w:firstLine="420"/>
        <w:outlineLvl w:val="2"/>
        <w:rPr>
          <w:color w:val="FF0000"/>
        </w:rPr>
      </w:pPr>
      <w:r>
        <w:t>（</w:t>
      </w:r>
      <w:r>
        <w:t>1</w:t>
      </w:r>
      <w:r>
        <w:t>）组织架构</w:t>
      </w:r>
    </w:p>
    <w:p w14:paraId="0B2B5E97" w14:textId="5159F21D" w:rsidR="00081B83" w:rsidRDefault="00000000">
      <w:pPr>
        <w:spacing w:line="360" w:lineRule="auto"/>
        <w:ind w:leftChars="135" w:left="283" w:rightChars="242" w:right="508" w:firstLineChars="200" w:firstLine="420"/>
      </w:pPr>
      <w:r>
        <w:t>公司严格按照《公司法》等</w:t>
      </w:r>
      <w:r>
        <w:rPr>
          <w:rFonts w:hint="eastAsia"/>
        </w:rPr>
        <w:t>法律法规</w:t>
      </w:r>
      <w:r>
        <w:t>、规范性文件和《公司章程》的规定，建立健全了规范的公司治理结构和议事规则，形成了以股东会、董事会及公司管理层为主体结构的决策与经营管理体系，依法履行《公司法》和《公司章程》等所规定的各项职责。</w:t>
      </w:r>
    </w:p>
    <w:p w14:paraId="19D884D3" w14:textId="77777777" w:rsidR="00081B83" w:rsidRDefault="00000000">
      <w:pPr>
        <w:spacing w:line="360" w:lineRule="auto"/>
        <w:ind w:leftChars="135" w:left="283" w:rightChars="242" w:right="508" w:firstLineChars="200" w:firstLine="420"/>
      </w:pPr>
      <w:r>
        <w:t>公司按照国家法律法规的规定以及监管部门的要求，设立了符合公司业务特点和经营管理需要的组织机构；遵循不相容职务相分离的原则，合理设置部门和岗位，科学划分职责和权限，并制定了相应的工作制度和议事规则。公司组织机构之间权责明确，相互制衡及协调，以确保公司决策、执行和监督检查程序的顺畅运行，形成各司其职、各负其责、相互配合、相互制约的内部控制组织体系。</w:t>
      </w:r>
    </w:p>
    <w:p w14:paraId="226C4E72" w14:textId="77777777" w:rsidR="00081B83" w:rsidRDefault="00000000">
      <w:pPr>
        <w:spacing w:line="360" w:lineRule="auto"/>
        <w:ind w:leftChars="135" w:left="283" w:rightChars="242" w:right="508" w:firstLineChars="200" w:firstLine="420"/>
        <w:outlineLvl w:val="2"/>
        <w:rPr>
          <w:color w:val="FF0000"/>
        </w:rPr>
      </w:pPr>
      <w:r>
        <w:t>（</w:t>
      </w:r>
      <w:r>
        <w:t>2</w:t>
      </w:r>
      <w:r>
        <w:t>）企业文化</w:t>
      </w:r>
    </w:p>
    <w:p w14:paraId="300A434E" w14:textId="01F8E501" w:rsidR="00081B83" w:rsidRDefault="00000000">
      <w:pPr>
        <w:spacing w:line="360" w:lineRule="auto"/>
        <w:ind w:leftChars="135" w:left="283" w:rightChars="242" w:right="508" w:firstLineChars="200" w:firstLine="420"/>
      </w:pPr>
      <w:r>
        <w:rPr>
          <w:rFonts w:hint="eastAsia"/>
        </w:rPr>
        <w:t>公司建立了企业文化体系和相应管理制度，将内控和风险管理元素融入企业文化建设之中，为内部控制的完善夯实了制度基础。公司在积极践行广晟控股集团企业文化和</w:t>
      </w:r>
      <w:r>
        <w:rPr>
          <w:rFonts w:hint="eastAsia"/>
        </w:rPr>
        <w:t>FAITH</w:t>
      </w:r>
      <w:r>
        <w:rPr>
          <w:rFonts w:hint="eastAsia"/>
        </w:rPr>
        <w:t>经营理念的基础上，确立了“践行生态文明，服务美丽中国”的企业使命，和成为“优秀的综合环境服务商和资源循环产业领军企业”的目标愿景。</w:t>
      </w:r>
    </w:p>
    <w:p w14:paraId="14C4E3A7" w14:textId="218F358A" w:rsidR="00081B83" w:rsidRDefault="00000000">
      <w:pPr>
        <w:spacing w:line="360" w:lineRule="auto"/>
        <w:ind w:leftChars="135" w:left="283" w:rightChars="242" w:right="508" w:firstLineChars="200" w:firstLine="420"/>
      </w:pPr>
      <w:r>
        <w:rPr>
          <w:rFonts w:hint="eastAsia"/>
        </w:rPr>
        <w:t>公司将企业文化与品牌建设积极融入改革发展进程中，围绕企业转型升级规划，</w:t>
      </w:r>
      <w:r>
        <w:rPr>
          <w:rFonts w:hint="eastAsia"/>
        </w:rPr>
        <w:lastRenderedPageBreak/>
        <w:t>持续推动从“从危废处置龙头到综合环境服务与资源循环产业领军企业”的品牌认知升级，整合优化包含官方微信公众号、官方网站、“三色东江”广播、“东江小喇叭”内宣号等传播载体矩阵，策划发布了“晟行</w:t>
      </w:r>
      <w:r>
        <w:rPr>
          <w:rFonts w:hint="eastAsia"/>
        </w:rPr>
        <w:t>FAITH</w:t>
      </w:r>
      <w:r>
        <w:rPr>
          <w:rFonts w:hint="eastAsia"/>
        </w:rPr>
        <w:t>”“三极四强促转型”“东江故事”“向新而行”等一系列专题宣传，做好企业全面深化改革及转型升级各项战略解读。公司的智慧环保展厅成功参评广东省工业旅游培育资源库项目，共接待社会、校园环境科普活动参观</w:t>
      </w:r>
      <w:r>
        <w:rPr>
          <w:rFonts w:hint="eastAsia"/>
        </w:rPr>
        <w:t>838</w:t>
      </w:r>
      <w:r>
        <w:rPr>
          <w:rFonts w:hint="eastAsia"/>
        </w:rPr>
        <w:t>人次，进一步彰显国企担当。</w:t>
      </w:r>
    </w:p>
    <w:p w14:paraId="605E28C0" w14:textId="77777777" w:rsidR="00081B83" w:rsidRDefault="00000000">
      <w:pPr>
        <w:spacing w:line="360" w:lineRule="auto"/>
        <w:ind w:leftChars="135" w:left="283" w:rightChars="242" w:right="508" w:firstLineChars="200" w:firstLine="420"/>
        <w:outlineLvl w:val="2"/>
        <w:rPr>
          <w:color w:val="FF0000"/>
        </w:rPr>
      </w:pPr>
      <w:r>
        <w:t>（</w:t>
      </w:r>
      <w:r>
        <w:t>3</w:t>
      </w:r>
      <w:r>
        <w:t>）社会责任</w:t>
      </w:r>
    </w:p>
    <w:p w14:paraId="174E389A" w14:textId="77777777" w:rsidR="00081B83" w:rsidRDefault="00000000">
      <w:pPr>
        <w:spacing w:line="360" w:lineRule="auto"/>
        <w:ind w:leftChars="135" w:left="283" w:rightChars="242" w:right="508" w:firstLineChars="200" w:firstLine="420"/>
      </w:pPr>
      <w:r>
        <w:rPr>
          <w:rFonts w:hint="eastAsia"/>
        </w:rPr>
        <w:t>公司始终将履行安全环保社会责任放在重要位置，持续健全和优化各项管理制度，不断完善安全环保管理体系。结合托管经营战略要求，公司构建起“总部</w:t>
      </w:r>
      <w:r>
        <w:rPr>
          <w:rFonts w:hint="eastAsia"/>
        </w:rPr>
        <w:t>-</w:t>
      </w:r>
      <w:r>
        <w:rPr>
          <w:rFonts w:hint="eastAsia"/>
        </w:rPr>
        <w:t>托管层</w:t>
      </w:r>
      <w:r>
        <w:rPr>
          <w:rFonts w:hint="eastAsia"/>
        </w:rPr>
        <w:t>-</w:t>
      </w:r>
      <w:r>
        <w:rPr>
          <w:rFonts w:hint="eastAsia"/>
        </w:rPr>
        <w:t>被托管企业”三级联动安全环保管理架构，全面压实公司及下属企业安全生产责任制，通过实施全覆盖、穿透式考核，制定差异化指标，推动责任层层落实。公司持续健全安全风险分级管控和隐患排查治理双重预防机制，全过程开展安全风险辨识，强化多层级安全环保检查，从源头上夯实本质安全基础，全面提升风险防控能力。公司及下属企业定期组织开展安全、环保、职业健康知识培训、应急救援演练等活动，纵深推进“平安班组”建设，通过标准化指引与特色活动提升一线自主安全管理能力。同时，扎实开展安全管理规范化创建，推动安全环保工作全面提质增效，为公司高质量发展提供有力保障。</w:t>
      </w:r>
    </w:p>
    <w:p w14:paraId="2EDE202C" w14:textId="77777777" w:rsidR="00081B83" w:rsidRDefault="00000000">
      <w:pPr>
        <w:spacing w:line="360" w:lineRule="auto"/>
        <w:ind w:leftChars="135" w:left="283" w:rightChars="242" w:right="508" w:firstLineChars="200" w:firstLine="420"/>
      </w:pPr>
      <w:r>
        <w:rPr>
          <w:rFonts w:hint="eastAsia"/>
        </w:rPr>
        <w:t>公司严格执行新改扩建项目“三同时”管理，确保项目竣工投产后符合相关法律法规要求，切实保障员工安全健康，有效预防环境污染。在公司范围内建立承包商、供应商一体化安全管理体系，全面提升相关方人员的人身与财产安全保障水平。</w:t>
      </w:r>
    </w:p>
    <w:p w14:paraId="1A85029E" w14:textId="77777777" w:rsidR="00081B83" w:rsidRDefault="00000000">
      <w:pPr>
        <w:spacing w:line="360" w:lineRule="auto"/>
        <w:ind w:leftChars="135" w:left="283" w:rightChars="242" w:right="508" w:firstLineChars="200" w:firstLine="420"/>
      </w:pPr>
      <w:r>
        <w:rPr>
          <w:rFonts w:hint="eastAsia"/>
        </w:rPr>
        <w:t>按照项目环境影响评价及审批意见的有关要求，公司规范建设废水、废气等污染防治设施，持续引入先进工艺与技术，确保污染物稳定达标排放。公司坚持保障安全环保资金投入，不断优化内部管理机制，提升安全环保管理水平，确保各项运营活动规范、安全、有序开展</w:t>
      </w:r>
      <w:r>
        <w:t>。</w:t>
      </w:r>
    </w:p>
    <w:p w14:paraId="7BC21793" w14:textId="77777777" w:rsidR="00081B83" w:rsidRDefault="00000000">
      <w:pPr>
        <w:spacing w:line="360" w:lineRule="auto"/>
        <w:ind w:leftChars="135" w:left="283" w:rightChars="242" w:right="508" w:firstLineChars="200" w:firstLine="420"/>
        <w:outlineLvl w:val="2"/>
        <w:rPr>
          <w:color w:val="FF0000"/>
        </w:rPr>
      </w:pPr>
      <w:r>
        <w:t>（</w:t>
      </w:r>
      <w:r>
        <w:t>4</w:t>
      </w:r>
      <w:r>
        <w:t>）内外部信息传递</w:t>
      </w:r>
    </w:p>
    <w:p w14:paraId="600F5ABC" w14:textId="77777777" w:rsidR="00081B83" w:rsidRDefault="00000000">
      <w:pPr>
        <w:spacing w:line="360" w:lineRule="auto"/>
        <w:ind w:leftChars="135" w:left="283" w:rightChars="242" w:right="508" w:firstLineChars="200" w:firstLine="420"/>
      </w:pPr>
      <w:r>
        <w:t>公司</w:t>
      </w:r>
      <w:r>
        <w:rPr>
          <w:rFonts w:hint="eastAsia"/>
        </w:rPr>
        <w:t>已</w:t>
      </w:r>
      <w:r>
        <w:t>制定《重大信息内部报告制度》，</w:t>
      </w:r>
      <w:r>
        <w:rPr>
          <w:rFonts w:hint="eastAsia"/>
        </w:rPr>
        <w:t>对</w:t>
      </w:r>
      <w:r>
        <w:t>信息传递机制和程序</w:t>
      </w:r>
      <w:r>
        <w:rPr>
          <w:rFonts w:hint="eastAsia"/>
        </w:rPr>
        <w:t>及</w:t>
      </w:r>
      <w:r>
        <w:t>各职能部门</w:t>
      </w:r>
      <w:r>
        <w:rPr>
          <w:rFonts w:hint="eastAsia"/>
        </w:rPr>
        <w:t>、</w:t>
      </w:r>
      <w:r>
        <w:t>下属单位的信息收集、传递的管理办法</w:t>
      </w:r>
      <w:r>
        <w:rPr>
          <w:rFonts w:hint="eastAsia"/>
        </w:rPr>
        <w:t>进行明确</w:t>
      </w:r>
      <w:r>
        <w:t>，要求内部信息报告义务人及时</w:t>
      </w:r>
      <w:r>
        <w:rPr>
          <w:rFonts w:hint="eastAsia"/>
        </w:rPr>
        <w:t>报告重大信息</w:t>
      </w:r>
      <w:r>
        <w:t>，确保公司</w:t>
      </w:r>
      <w:r>
        <w:rPr>
          <w:rFonts w:hint="eastAsia"/>
        </w:rPr>
        <w:t>信息披露的</w:t>
      </w:r>
      <w:r>
        <w:t>及时、准确、完整。</w:t>
      </w:r>
    </w:p>
    <w:p w14:paraId="4818D3B6" w14:textId="77777777" w:rsidR="00081B83" w:rsidRDefault="00000000">
      <w:pPr>
        <w:spacing w:line="360" w:lineRule="auto"/>
        <w:ind w:leftChars="135" w:left="283" w:rightChars="242" w:right="508" w:firstLineChars="200" w:firstLine="420"/>
        <w:outlineLvl w:val="2"/>
        <w:rPr>
          <w:color w:val="FF0000"/>
        </w:rPr>
      </w:pPr>
      <w:r>
        <w:t>（</w:t>
      </w:r>
      <w:r>
        <w:t>5</w:t>
      </w:r>
      <w:r>
        <w:t>）发展战略</w:t>
      </w:r>
    </w:p>
    <w:p w14:paraId="7B7EB8CB" w14:textId="0E05B5B8" w:rsidR="00081B83" w:rsidRDefault="00000000">
      <w:pPr>
        <w:spacing w:line="360" w:lineRule="auto"/>
        <w:ind w:leftChars="135" w:left="283" w:rightChars="242" w:right="508" w:firstLineChars="200" w:firstLine="420"/>
      </w:pPr>
      <w:r>
        <w:t>公司董事会下设战略发展委员会</w:t>
      </w:r>
      <w:r>
        <w:rPr>
          <w:rFonts w:hint="eastAsia"/>
        </w:rPr>
        <w:t>，并制定了</w:t>
      </w:r>
      <w:r>
        <w:t>《董事会战略发展委员会议事规则》，</w:t>
      </w:r>
      <w:r>
        <w:lastRenderedPageBreak/>
        <w:t>对公司中长期发展战略规划、重大投融资方案、重大资本运作、资产经</w:t>
      </w:r>
      <w:r>
        <w:rPr>
          <w:rFonts w:hint="eastAsia"/>
        </w:rPr>
        <w:t>营等</w:t>
      </w:r>
      <w:r>
        <w:t>事项进行研究并提出建议。</w:t>
      </w:r>
      <w:r>
        <w:rPr>
          <w:rFonts w:hint="eastAsia"/>
        </w:rPr>
        <w:t>公司成立了战略发展工作领导小组，研究推动公司战略发展的重要政策、总体部署、重要规划，研究公司股票定增、股权激励、融资债券、投资并购、资本运作等重要工作安排，协调解决重点难点问题，指导督促各部门、各单位扎实开展工作。</w:t>
      </w:r>
    </w:p>
    <w:p w14:paraId="47842F1E" w14:textId="033610DF" w:rsidR="00081B83" w:rsidRDefault="00000000">
      <w:pPr>
        <w:spacing w:line="360" w:lineRule="auto"/>
        <w:ind w:leftChars="135" w:left="283" w:rightChars="242" w:right="508" w:firstLineChars="200" w:firstLine="420"/>
      </w:pPr>
      <w:r>
        <w:t>公司根据内外环境变化和自身发展需要对战略目标进行了阐述与梳理</w:t>
      </w:r>
      <w:r>
        <w:rPr>
          <w:rFonts w:hint="eastAsia"/>
        </w:rPr>
        <w:t>，针对</w:t>
      </w:r>
      <w:r>
        <w:t>战略目标制定重点任务，将重点任务</w:t>
      </w:r>
      <w:r>
        <w:rPr>
          <w:rFonts w:hint="eastAsia"/>
        </w:rPr>
        <w:t>责任</w:t>
      </w:r>
      <w:r>
        <w:t>分解到各个职能部门</w:t>
      </w:r>
      <w:r>
        <w:rPr>
          <w:rFonts w:hint="eastAsia"/>
        </w:rPr>
        <w:t>，</w:t>
      </w:r>
      <w:r>
        <w:t>并通过年度经营计划和全面预算管理等方式，将战略落实到年度生产经营活动中，保证公司发展规划分步落实到位。</w:t>
      </w:r>
      <w:r>
        <w:rPr>
          <w:rFonts w:hint="eastAsia"/>
        </w:rPr>
        <w:t>同时，</w:t>
      </w:r>
      <w:r>
        <w:t>通过与下属单位签订《年度经营目标责任书》推动年度经营计划的执行。</w:t>
      </w:r>
    </w:p>
    <w:p w14:paraId="351076FA" w14:textId="77777777" w:rsidR="00081B83" w:rsidRDefault="00000000">
      <w:pPr>
        <w:spacing w:line="360" w:lineRule="auto"/>
        <w:ind w:leftChars="135" w:left="283" w:rightChars="242" w:right="508" w:firstLineChars="200" w:firstLine="420"/>
        <w:outlineLvl w:val="2"/>
        <w:rPr>
          <w:color w:val="FF0000"/>
        </w:rPr>
      </w:pPr>
      <w:r>
        <w:t>（</w:t>
      </w:r>
      <w:r>
        <w:t>6</w:t>
      </w:r>
      <w:r>
        <w:t>）审计稽核</w:t>
      </w:r>
    </w:p>
    <w:p w14:paraId="53B12FEF" w14:textId="77777777" w:rsidR="00081B83" w:rsidRDefault="00000000">
      <w:pPr>
        <w:spacing w:line="360" w:lineRule="auto"/>
        <w:ind w:leftChars="135" w:left="283" w:rightChars="242" w:right="508" w:firstLineChars="200" w:firstLine="420"/>
      </w:pPr>
      <w:r>
        <w:t>董事会审计</w:t>
      </w:r>
      <w:r>
        <w:rPr>
          <w:rFonts w:hint="eastAsia"/>
        </w:rPr>
        <w:t>与风险管理</w:t>
      </w:r>
      <w:r>
        <w:t>委员会下设审计部</w:t>
      </w:r>
      <w:r>
        <w:rPr>
          <w:rFonts w:hint="eastAsia"/>
        </w:rPr>
        <w:t>。</w:t>
      </w:r>
      <w:r>
        <w:t>公司</w:t>
      </w:r>
      <w:r>
        <w:rPr>
          <w:rFonts w:hint="eastAsia"/>
        </w:rPr>
        <w:t>已</w:t>
      </w:r>
      <w:r>
        <w:t>制定《内部审计制度》《反舞弊管理制度》《内部控制评价工作管理办法》《违规经营投资责任追究实施办法》</w:t>
      </w:r>
      <w:r>
        <w:rPr>
          <w:rFonts w:hint="eastAsia"/>
        </w:rPr>
        <w:t>《违规经营投资问题线索查处工作指引》《内部控制缺陷认定标准》</w:t>
      </w:r>
      <w:r>
        <w:t>等审计内控制度</w:t>
      </w:r>
      <w:r>
        <w:rPr>
          <w:rFonts w:hint="eastAsia"/>
        </w:rPr>
        <w:t>。</w:t>
      </w:r>
      <w:r>
        <w:t>依据审计管理制度</w:t>
      </w:r>
      <w:r>
        <w:rPr>
          <w:rFonts w:hint="eastAsia"/>
        </w:rPr>
        <w:t>及</w:t>
      </w:r>
      <w:r>
        <w:t>结合公司管理实际，公司审计部门坚持风险导向原则，定期组织对公司及下属企业的运营管理、财务收支、经济效益、内控建设及执行、总经理履职等方面进行审计监督和评价，反映存在的风险和问题，并站在提升管理和效率、规范运营活动、防范化解风险、有效预防舞弊的角度提出审计建议</w:t>
      </w:r>
      <w:r>
        <w:rPr>
          <w:rFonts w:hint="eastAsia"/>
        </w:rPr>
        <w:t>，并</w:t>
      </w:r>
      <w:r>
        <w:t>督促做好审计整改工作。</w:t>
      </w:r>
    </w:p>
    <w:p w14:paraId="4F88B8DE" w14:textId="77777777" w:rsidR="00081B83" w:rsidRDefault="00000000">
      <w:pPr>
        <w:spacing w:line="360" w:lineRule="auto"/>
        <w:ind w:leftChars="135" w:left="283" w:rightChars="242" w:right="508" w:firstLineChars="200" w:firstLine="420"/>
        <w:outlineLvl w:val="2"/>
        <w:rPr>
          <w:color w:val="FF0000"/>
        </w:rPr>
      </w:pPr>
      <w:r>
        <w:t>（</w:t>
      </w:r>
      <w:r>
        <w:t>7</w:t>
      </w:r>
      <w:r>
        <w:t>）资产管理</w:t>
      </w:r>
    </w:p>
    <w:p w14:paraId="4B28FCB5" w14:textId="4C31E798" w:rsidR="00081B83" w:rsidRDefault="00000000">
      <w:pPr>
        <w:spacing w:line="360" w:lineRule="auto"/>
        <w:ind w:leftChars="135" w:left="283" w:rightChars="242" w:right="508" w:firstLineChars="200" w:firstLine="420"/>
      </w:pPr>
      <w:r>
        <w:t>公司</w:t>
      </w:r>
      <w:r>
        <w:rPr>
          <w:rFonts w:hint="eastAsia"/>
        </w:rPr>
        <w:t>已</w:t>
      </w:r>
      <w:r>
        <w:t>制定《固定资产管理制度》《存货管理制度》等资产管理制度</w:t>
      </w:r>
      <w:r>
        <w:rPr>
          <w:rFonts w:hint="eastAsia"/>
        </w:rPr>
        <w:t>对</w:t>
      </w:r>
      <w:r>
        <w:t>固定资产、流动资产和无形资产进行科学有效</w:t>
      </w:r>
      <w:r>
        <w:rPr>
          <w:rFonts w:hint="eastAsia"/>
        </w:rPr>
        <w:t>的</w:t>
      </w:r>
      <w:r>
        <w:t>管理</w:t>
      </w:r>
      <w:r>
        <w:rPr>
          <w:rFonts w:hint="eastAsia"/>
        </w:rPr>
        <w:t>，包含</w:t>
      </w:r>
      <w:r>
        <w:t>对资产的取得、日常实物管理、资产处置以及各类资产的界定、计价、摊销、盘点、减值评估等</w:t>
      </w:r>
      <w:r>
        <w:rPr>
          <w:rFonts w:hint="eastAsia"/>
        </w:rPr>
        <w:t>方面</w:t>
      </w:r>
      <w:r>
        <w:t>的管理要求和规范约束。公司采取职责分工、定期实物盘点、财产记录、账实核对、财产保险等措施，防止</w:t>
      </w:r>
      <w:r>
        <w:rPr>
          <w:rFonts w:hint="eastAsia"/>
        </w:rPr>
        <w:t>各种资产的毁损和流失，保证公司财产的安全完整。</w:t>
      </w:r>
    </w:p>
    <w:p w14:paraId="7E738058" w14:textId="77777777" w:rsidR="00081B83" w:rsidRDefault="00000000">
      <w:pPr>
        <w:spacing w:line="360" w:lineRule="auto"/>
        <w:ind w:leftChars="135" w:left="283" w:rightChars="242" w:right="508" w:firstLineChars="200" w:firstLine="420"/>
        <w:outlineLvl w:val="2"/>
        <w:rPr>
          <w:color w:val="FF0000"/>
        </w:rPr>
      </w:pPr>
      <w:r>
        <w:t>（</w:t>
      </w:r>
      <w:r>
        <w:t>8</w:t>
      </w:r>
      <w:r>
        <w:t>）信息系统一般控制</w:t>
      </w:r>
    </w:p>
    <w:p w14:paraId="300FB2F2" w14:textId="5873AD95" w:rsidR="00081B83" w:rsidRDefault="00000000">
      <w:pPr>
        <w:spacing w:line="360" w:lineRule="auto"/>
        <w:ind w:leftChars="135" w:left="283" w:rightChars="242" w:right="508" w:firstLineChars="200" w:firstLine="420"/>
      </w:pPr>
      <w:r>
        <w:rPr>
          <w:rFonts w:hint="eastAsia"/>
        </w:rPr>
        <w:t>公司成立数字化转型领导小组和工作小组，分别从战略规划、应用系统建设层面、数据应用层面以及网络安全层面制定</w:t>
      </w:r>
      <w:r>
        <w:rPr>
          <w:rFonts w:hint="eastAsia"/>
        </w:rPr>
        <w:t>IT</w:t>
      </w:r>
      <w:r>
        <w:rPr>
          <w:rFonts w:hint="eastAsia"/>
        </w:rPr>
        <w:t>治理相关的制度保障体系。在信息化规划建设方面，立足“数出一孔，利出一孔”的思路，稳步推进架构统一，技术标准统一，数据标准统一，从根源解决多头数据输入导致的数据孤岛问题；同时通过有</w:t>
      </w:r>
      <w:r>
        <w:rPr>
          <w:rFonts w:hint="eastAsia"/>
        </w:rPr>
        <w:lastRenderedPageBreak/>
        <w:t>序组织信息系统开发、运行与维护，确保信息化建设服务于公司的发展战略和经营目标。在应用系统建设、数据应用方面，深入梳理业务需求，规划销售、收运、出入库、物控、生产、运输、结算等全链路功能，推进自研供应链系统进入试运行，推进实现“业务在线，数据在线，管理在线”。在网络安全方面，通过部署边界防火墙、部署主机病毒防御、部署日志审计、下线影子资产、关闭非必要端口、完善物理备份等举措，对网络安全架构进行全面优化，形成“传统防火墙</w:t>
      </w:r>
      <w:r>
        <w:rPr>
          <w:rFonts w:hint="eastAsia"/>
        </w:rPr>
        <w:t>+</w:t>
      </w:r>
      <w:r>
        <w:rPr>
          <w:rFonts w:hint="eastAsia"/>
        </w:rPr>
        <w:t>应用防火墙</w:t>
      </w:r>
      <w:r>
        <w:rPr>
          <w:rFonts w:hint="eastAsia"/>
        </w:rPr>
        <w:t>+</w:t>
      </w:r>
      <w:r>
        <w:rPr>
          <w:rFonts w:hint="eastAsia"/>
        </w:rPr>
        <w:t>日志审计”的三层防护体系，进一步强化基础安全防护壁垒，确保各信息系统安全、稳定地运行，支撑公司业务的高质量发展。</w:t>
      </w:r>
    </w:p>
    <w:p w14:paraId="6550B4DF" w14:textId="77777777" w:rsidR="00081B83" w:rsidRDefault="00000000">
      <w:pPr>
        <w:spacing w:line="360" w:lineRule="auto"/>
        <w:ind w:leftChars="135" w:left="283" w:rightChars="242" w:right="508" w:firstLineChars="200" w:firstLine="420"/>
        <w:outlineLvl w:val="2"/>
        <w:rPr>
          <w:color w:val="FF0000"/>
        </w:rPr>
      </w:pPr>
      <w:r>
        <w:t>（</w:t>
      </w:r>
      <w:r>
        <w:t>9</w:t>
      </w:r>
      <w:r>
        <w:t>）合同及档案管理</w:t>
      </w:r>
    </w:p>
    <w:p w14:paraId="6437A960" w14:textId="77777777" w:rsidR="00081B83" w:rsidRDefault="00000000">
      <w:pPr>
        <w:spacing w:line="360" w:lineRule="auto"/>
        <w:ind w:leftChars="135" w:left="283" w:rightChars="242" w:right="508" w:firstLineChars="200" w:firstLine="420"/>
      </w:pPr>
      <w:r>
        <w:rPr>
          <w:rFonts w:hint="eastAsia"/>
        </w:rPr>
        <w:t>公司持续完善《合同管理制度》，明确了各类合同的审批权限及合同履行情况跟踪机制，针对合同履行过程中可能产生的风险采取相应的防范措施。公司法务部门根据新法新规及业务变化，不断修订合同模板并在下属分子公司推广应用，有效防控了合同履行过程中可能存在的风险。为推进档案工作规范化、制度化建设，全面提升档案管理质效，公司制定出台《档案管理规定》，定期对经营资料、技术资料、会议资料、内外部收发文、合同及协议等各类档案资料开展统筹归集与规范归档管理，并同步建立重要档案电子文库，构建系统化、数字化的档案管理体系</w:t>
      </w:r>
      <w:r>
        <w:t>。</w:t>
      </w:r>
    </w:p>
    <w:p w14:paraId="4669A3F6" w14:textId="77777777" w:rsidR="00081B83" w:rsidRDefault="00000000">
      <w:pPr>
        <w:spacing w:line="360" w:lineRule="auto"/>
        <w:ind w:leftChars="135" w:left="283" w:rightChars="242" w:right="508" w:firstLineChars="200" w:firstLine="420"/>
        <w:outlineLvl w:val="2"/>
      </w:pPr>
      <w:r>
        <w:t>（</w:t>
      </w:r>
      <w:r>
        <w:t>10</w:t>
      </w:r>
      <w:r>
        <w:t>）人力资源管理</w:t>
      </w:r>
    </w:p>
    <w:p w14:paraId="5DC3F745" w14:textId="77777777" w:rsidR="00081B83" w:rsidRDefault="00000000">
      <w:pPr>
        <w:spacing w:line="360" w:lineRule="auto"/>
        <w:ind w:leftChars="135" w:left="283" w:rightChars="242" w:right="508" w:firstLineChars="200" w:firstLine="420"/>
      </w:pPr>
      <w:r>
        <w:rPr>
          <w:rFonts w:hint="eastAsia"/>
        </w:rPr>
        <w:t>公司紧紧围绕东江环保“三条产业链”“十二条生产线”规划布局，锚定“强总部、强职能、活区域”的核心目标，以提升管理质效、打造学习型组织为抓手，全力构建适配东江环保战略实施的组织体系和干部人才队伍，系统推进组织重构、人才重塑、机制重建三大工程。公司全面打造“</w:t>
      </w:r>
      <w:r>
        <w:rPr>
          <w:rFonts w:hint="eastAsia"/>
        </w:rPr>
        <w:t>1+1+2+N</w:t>
      </w:r>
      <w:r>
        <w:rPr>
          <w:rFonts w:hint="eastAsia"/>
        </w:rPr>
        <w:t>”人才培养体系，精准引进关键紧缺人才，推动研发骨干下沉一线，建立高潜人才池。公司将继续推动组织机制改革，持续拓宽引才渠道，深化人才培养，提升人才配置效率，为落实攀高目标及东江环保高质量“转型突围”提供坚实的人才支撑。</w:t>
      </w:r>
    </w:p>
    <w:p w14:paraId="41F20947" w14:textId="77777777" w:rsidR="00081B83" w:rsidRDefault="00000000">
      <w:pPr>
        <w:spacing w:line="360" w:lineRule="auto"/>
        <w:ind w:leftChars="135" w:left="283" w:rightChars="242" w:right="508" w:firstLineChars="200" w:firstLine="420"/>
        <w:outlineLvl w:val="2"/>
      </w:pPr>
      <w:r>
        <w:t>（</w:t>
      </w:r>
      <w:r>
        <w:t>11</w:t>
      </w:r>
      <w:r>
        <w:t>）全面预算管理</w:t>
      </w:r>
    </w:p>
    <w:p w14:paraId="7D5AC241" w14:textId="77777777" w:rsidR="00081B83" w:rsidRDefault="00000000">
      <w:pPr>
        <w:spacing w:line="360" w:lineRule="auto"/>
        <w:ind w:leftChars="135" w:left="283" w:rightChars="242" w:right="508" w:firstLineChars="200" w:firstLine="420"/>
      </w:pPr>
      <w:r>
        <w:t>公司建立了全面预算管理机制，持续修订完善《预算管理制度》和《预算管理实施细则》等有关制度，通过编制预算及设定财务类考核指标，为公司与下属单位签订年度绩效考核协议提供依据。公司建立了预算管理平台，按预算控制各项支出，跟踪预算执行情况，分析偏差及原因并进行风险提示，为管理层提供决策依据。公司严格控制预算外支出，</w:t>
      </w:r>
      <w:r>
        <w:rPr>
          <w:rFonts w:hint="eastAsia"/>
        </w:rPr>
        <w:t>年度</w:t>
      </w:r>
      <w:r>
        <w:t>预算执行控制</w:t>
      </w:r>
      <w:r>
        <w:rPr>
          <w:rFonts w:hint="eastAsia"/>
        </w:rPr>
        <w:t>情况</w:t>
      </w:r>
      <w:r>
        <w:t>符合公司的授权审批规定，</w:t>
      </w:r>
      <w:r>
        <w:rPr>
          <w:rFonts w:hint="eastAsia"/>
        </w:rPr>
        <w:t>并不断</w:t>
      </w:r>
      <w:r>
        <w:lastRenderedPageBreak/>
        <w:t>完善预算执行情况报告，及时发现预算执行中的问题并制定相关改进措施，预算考核制度明确，指标合理，奖惩有据，确保预算目标的达成。</w:t>
      </w:r>
    </w:p>
    <w:p w14:paraId="1DDB332C" w14:textId="77777777" w:rsidR="00081B83" w:rsidRDefault="00000000">
      <w:pPr>
        <w:spacing w:line="360" w:lineRule="auto"/>
        <w:ind w:leftChars="135" w:left="283" w:rightChars="242" w:right="508" w:firstLineChars="200" w:firstLine="420"/>
        <w:outlineLvl w:val="2"/>
        <w:rPr>
          <w:color w:val="FF0000"/>
        </w:rPr>
      </w:pPr>
      <w:r>
        <w:t>（</w:t>
      </w:r>
      <w:r>
        <w:t>12</w:t>
      </w:r>
      <w:r>
        <w:t>）资金管理</w:t>
      </w:r>
    </w:p>
    <w:p w14:paraId="7D46E6B0" w14:textId="77777777" w:rsidR="00081B83" w:rsidRDefault="00000000">
      <w:pPr>
        <w:spacing w:line="360" w:lineRule="auto"/>
        <w:ind w:leftChars="135" w:left="283" w:rightChars="242" w:right="508" w:firstLineChars="200" w:firstLine="420"/>
      </w:pPr>
      <w:r>
        <w:rPr>
          <w:rFonts w:hint="eastAsia"/>
        </w:rPr>
        <w:t>公司制定了《资金管理规定》，对现金、银行存款、其他货币资金及有价单证、票据等进行全面管理，严格执行对资金的筹集、保管、使用、分配、调度等各环节的授权审批。公司已成立财务共享服务中心，下设资金结算组集中统筹管理资金结算工作，确保公司资金使用符合安全性、合理性及效率性原则。公司司库系统已顺利上线，按照“统一管理、分级授权”的思路，司库信息管理系统具备</w:t>
      </w:r>
      <w:r>
        <w:rPr>
          <w:rFonts w:hint="eastAsia"/>
        </w:rPr>
        <w:t>12</w:t>
      </w:r>
      <w:r>
        <w:rPr>
          <w:rFonts w:hint="eastAsia"/>
        </w:rPr>
        <w:t>项功能，包括</w:t>
      </w:r>
      <w:r>
        <w:rPr>
          <w:rFonts w:hint="eastAsia"/>
        </w:rPr>
        <w:t>6</w:t>
      </w:r>
      <w:r>
        <w:rPr>
          <w:rFonts w:hint="eastAsia"/>
        </w:rPr>
        <w:t>个核心功能（银行账户、资金集中、资金预算管理、债务融资、资金结算、借款与融资担保），</w:t>
      </w:r>
      <w:r>
        <w:rPr>
          <w:rFonts w:hint="eastAsia"/>
        </w:rPr>
        <w:t>4</w:t>
      </w:r>
      <w:r>
        <w:rPr>
          <w:rFonts w:hint="eastAsia"/>
        </w:rPr>
        <w:t>个管理功能（票据管理、应收款项清收、境外资金管理、供应链金融），</w:t>
      </w:r>
      <w:r>
        <w:rPr>
          <w:rFonts w:hint="eastAsia"/>
        </w:rPr>
        <w:t>2</w:t>
      </w:r>
      <w:r>
        <w:rPr>
          <w:rFonts w:hint="eastAsia"/>
        </w:rPr>
        <w:t>个高级功能（风险预警、战略决策）。</w:t>
      </w:r>
    </w:p>
    <w:p w14:paraId="240CE7A0" w14:textId="77777777" w:rsidR="00081B83" w:rsidRDefault="00000000">
      <w:pPr>
        <w:spacing w:line="360" w:lineRule="auto"/>
        <w:ind w:leftChars="135" w:left="283" w:rightChars="242" w:right="508" w:firstLineChars="200" w:firstLine="420"/>
        <w:outlineLvl w:val="2"/>
        <w:rPr>
          <w:color w:val="FF0000"/>
        </w:rPr>
      </w:pPr>
      <w:r>
        <w:t>（</w:t>
      </w:r>
      <w:r>
        <w:t>13</w:t>
      </w:r>
      <w:r>
        <w:t>）财务报告</w:t>
      </w:r>
    </w:p>
    <w:p w14:paraId="1E1E9801" w14:textId="77777777" w:rsidR="00081B83" w:rsidRDefault="00000000">
      <w:pPr>
        <w:spacing w:line="360" w:lineRule="auto"/>
        <w:ind w:leftChars="135" w:left="283" w:rightChars="242" w:right="508" w:firstLineChars="200" w:firstLine="420"/>
      </w:pPr>
      <w:r>
        <w:t>公司严格按照国家财务会计等法律法规和公司相关财务制度的规定编制财务报告，明确了会计核算、报告编制、复核、审批和披露的处理程序及职责分工，确保公司财务报告的真实、准确和完整。同时，</w:t>
      </w:r>
      <w:r>
        <w:rPr>
          <w:rFonts w:hint="eastAsia"/>
        </w:rPr>
        <w:t>公司</w:t>
      </w:r>
      <w:r>
        <w:t>严格按照</w:t>
      </w:r>
      <w:r>
        <w:rPr>
          <w:rFonts w:hint="eastAsia"/>
        </w:rPr>
        <w:t>《</w:t>
      </w:r>
      <w:r>
        <w:t>信息披露管理制度</w:t>
      </w:r>
      <w:r>
        <w:rPr>
          <w:rFonts w:hint="eastAsia"/>
        </w:rPr>
        <w:t>》</w:t>
      </w:r>
      <w:r>
        <w:t>执行财务报告的信息披露工作，并制定了《年报信息披露重大差错责任追究制度》，</w:t>
      </w:r>
      <w:r>
        <w:rPr>
          <w:rFonts w:hint="eastAsia"/>
        </w:rPr>
        <w:t>以</w:t>
      </w:r>
      <w:r>
        <w:t>规范信息披露行为。</w:t>
      </w:r>
    </w:p>
    <w:p w14:paraId="16BA1EA8" w14:textId="77777777" w:rsidR="00081B83" w:rsidRDefault="00000000">
      <w:pPr>
        <w:spacing w:line="360" w:lineRule="auto"/>
        <w:ind w:leftChars="135" w:left="283" w:rightChars="242" w:right="508" w:firstLineChars="200" w:firstLine="420"/>
        <w:outlineLvl w:val="2"/>
      </w:pPr>
      <w:r>
        <w:t>（</w:t>
      </w:r>
      <w:r>
        <w:t>14</w:t>
      </w:r>
      <w:r>
        <w:t>）投资管理</w:t>
      </w:r>
    </w:p>
    <w:p w14:paraId="7D36C0A9" w14:textId="77777777" w:rsidR="00081B83" w:rsidRDefault="00000000">
      <w:pPr>
        <w:spacing w:line="360" w:lineRule="auto"/>
        <w:ind w:leftChars="135" w:left="283" w:rightChars="242" w:right="508" w:firstLineChars="200" w:firstLine="420"/>
      </w:pPr>
      <w:r>
        <w:rPr>
          <w:rFonts w:hint="eastAsia"/>
        </w:rPr>
        <w:t>公司已建立完善的对外投资管理机制，依据国资委相关管理规定及上市监管规则，制定《东江环保股份有限公司投资管理制度（试行）》。该制度对投资项目论证、审批与决策流程，以及新建、并购、技术改造等各类投资项目实施全过程规范管理；同时配套出台投资管理负面清单与决策权限清单，构建覆盖项目立项、审批、执行、监控及退出的全生命周期标准化管理体系，有效提升投资效益、严控投资风险，保障公司资源实现合理配置与高效利用。</w:t>
      </w:r>
    </w:p>
    <w:p w14:paraId="388A04FD" w14:textId="77777777" w:rsidR="00081B83" w:rsidRDefault="00000000">
      <w:pPr>
        <w:spacing w:line="360" w:lineRule="auto"/>
        <w:ind w:leftChars="135" w:left="283" w:rightChars="242" w:right="508" w:firstLineChars="200" w:firstLine="420"/>
      </w:pPr>
      <w:r>
        <w:rPr>
          <w:rFonts w:hint="eastAsia"/>
        </w:rPr>
        <w:t>公司战略投资部紧密围绕公司发展战略与核心主业，严格遵照制度及内部指引，有序开展项目前期接洽、立项申报、尽职调查、方案评审、投资决策等关键工作。针对重大投资事项，公司始终遵循合法、审慎、安全、有效的原则，持续规范决策程序，强化风险管控，切实注重投资效益，确保投资行为合规、稳健、高效。</w:t>
      </w:r>
    </w:p>
    <w:p w14:paraId="21EE1F79" w14:textId="77777777" w:rsidR="00081B83" w:rsidRDefault="00000000">
      <w:pPr>
        <w:spacing w:line="360" w:lineRule="auto"/>
        <w:ind w:leftChars="135" w:left="283" w:rightChars="242" w:right="508" w:firstLineChars="200" w:firstLine="420"/>
        <w:outlineLvl w:val="2"/>
      </w:pPr>
      <w:r>
        <w:t>（</w:t>
      </w:r>
      <w:r>
        <w:t>15</w:t>
      </w:r>
      <w:r>
        <w:t>）采购管理</w:t>
      </w:r>
    </w:p>
    <w:p w14:paraId="473A3C53" w14:textId="77777777" w:rsidR="00081B83" w:rsidRDefault="00000000">
      <w:pPr>
        <w:spacing w:line="360" w:lineRule="auto"/>
        <w:ind w:leftChars="135" w:left="283" w:rightChars="242" w:right="508" w:firstLineChars="200" w:firstLine="420"/>
      </w:pPr>
      <w:r>
        <w:rPr>
          <w:rFonts w:hint="eastAsia"/>
        </w:rPr>
        <w:t>公司制定和修订了《采购管理制度》《招标采购管理办法》《非招标采购管理办</w:t>
      </w:r>
      <w:r>
        <w:rPr>
          <w:rFonts w:hint="eastAsia"/>
        </w:rPr>
        <w:lastRenderedPageBreak/>
        <w:t>法》《集中采购管理办法》《供应商管理办法》等一系列采购管理制度和办法，不断优化和完善采购管理机制。持续加强和规范采购实施程序，优化采购审批程序，强化采购全流程管控，减少采购风险；加强集中采购管理，严控采购成本，规范集采程序和方式；强化对供应商的管理与考核，注重考核结果的运用（对不合格供应商的付款流程提级管理），积极推动供需双方良好合作实现共赢。</w:t>
      </w:r>
    </w:p>
    <w:p w14:paraId="20290E0D" w14:textId="77777777" w:rsidR="00081B83" w:rsidRDefault="00000000">
      <w:pPr>
        <w:spacing w:line="360" w:lineRule="auto"/>
        <w:ind w:leftChars="135" w:left="283" w:rightChars="242" w:right="508" w:firstLineChars="200" w:firstLine="420"/>
      </w:pPr>
      <w:r>
        <w:rPr>
          <w:rFonts w:hint="eastAsia"/>
        </w:rPr>
        <w:t>公司持续加强东江电子采购平台的建设和管理，规范采购信息发布渠道和方式，根据实际执行情况进一步完善采购平台中的非招标在线评标模块，规范非招标采购实施过程；通过供应商年度考核模块对采购业务和款项支付的总结运用，促使其推动产品、服务的质量不断提升；继续完善东江电子采购平台与“粤采易”平台、</w:t>
      </w:r>
      <w:r>
        <w:rPr>
          <w:rFonts w:hint="eastAsia"/>
        </w:rPr>
        <w:t>OA</w:t>
      </w:r>
      <w:r>
        <w:rPr>
          <w:rFonts w:hint="eastAsia"/>
        </w:rPr>
        <w:t>等系统的对接，通过不断提升采购信息化建设水平，提高采购效率、降低采购风险。</w:t>
      </w:r>
    </w:p>
    <w:p w14:paraId="620CD0A7" w14:textId="77777777" w:rsidR="00081B83" w:rsidRDefault="00000000">
      <w:pPr>
        <w:spacing w:line="360" w:lineRule="auto"/>
        <w:ind w:leftChars="135" w:left="283" w:rightChars="242" w:right="508" w:firstLineChars="200" w:firstLine="420"/>
        <w:outlineLvl w:val="2"/>
        <w:rPr>
          <w:color w:val="FF0000"/>
        </w:rPr>
      </w:pPr>
      <w:r>
        <w:t>（</w:t>
      </w:r>
      <w:r>
        <w:t>16</w:t>
      </w:r>
      <w:r>
        <w:t>）销售管理</w:t>
      </w:r>
    </w:p>
    <w:p w14:paraId="20AD7EE5" w14:textId="77777777" w:rsidR="00081B83" w:rsidRDefault="00000000">
      <w:pPr>
        <w:spacing w:line="360" w:lineRule="auto"/>
        <w:ind w:leftChars="135" w:left="283" w:rightChars="242" w:right="508" w:firstLineChars="200" w:firstLine="420"/>
      </w:pPr>
      <w:r>
        <w:t>公司制定并持续完善《销售管理制度》《应收账款管理制度》《</w:t>
      </w:r>
      <w:r>
        <w:rPr>
          <w:rFonts w:hint="eastAsia"/>
        </w:rPr>
        <w:t>销售管理制度海外销售实施细则</w:t>
      </w:r>
      <w:r>
        <w:t>》《</w:t>
      </w:r>
      <w:r>
        <w:rPr>
          <w:rFonts w:hint="eastAsia"/>
        </w:rPr>
        <w:t>固废销售管理规定</w:t>
      </w:r>
      <w:r>
        <w:t>》《</w:t>
      </w:r>
      <w:r>
        <w:rPr>
          <w:rFonts w:hint="eastAsia"/>
        </w:rPr>
        <w:t>应急销售管理规定</w:t>
      </w:r>
      <w:r>
        <w:t>》等</w:t>
      </w:r>
      <w:r>
        <w:rPr>
          <w:rFonts w:hint="eastAsia"/>
        </w:rPr>
        <w:t>管理制度</w:t>
      </w:r>
      <w:r>
        <w:t>，明确销售、发货、收款等环节的职责和审批权限。在全国各区域建立了市场客户管理体系，合理确定定价机制和信用方式，健全客户信用档案，关注重要客户资信变动情况，防范信用风险。每年对客户服务进行满意度调查，加强客户服务和跟踪，提升客户满意度和忠诚度。根据公司总体经营目标，销售管理部门制定年度销售策略和销售计划，制定资源化产品价格体系；逐步完善销售与收款的业务流程，设置销售台账，对销售的业务流程实现全过程监督；保证公司销售业务有序进行，防止销售过程中的差错和内外部交易人员侵害公司利益等舞弊行为。</w:t>
      </w:r>
    </w:p>
    <w:p w14:paraId="3AE9E412" w14:textId="77777777" w:rsidR="00081B83" w:rsidRDefault="00000000">
      <w:pPr>
        <w:spacing w:line="360" w:lineRule="auto"/>
        <w:ind w:leftChars="135" w:left="283" w:rightChars="242" w:right="508" w:firstLineChars="200" w:firstLine="420"/>
        <w:outlineLvl w:val="2"/>
        <w:rPr>
          <w:color w:val="FF0000"/>
        </w:rPr>
      </w:pPr>
      <w:r>
        <w:t>（</w:t>
      </w:r>
      <w:r>
        <w:t>17</w:t>
      </w:r>
      <w:r>
        <w:t>）项目管理</w:t>
      </w:r>
    </w:p>
    <w:p w14:paraId="39DF47F4" w14:textId="68D71A86" w:rsidR="00081B83" w:rsidRDefault="00000000">
      <w:pPr>
        <w:spacing w:line="360" w:lineRule="auto"/>
        <w:ind w:leftChars="135" w:left="283" w:rightChars="242" w:right="508" w:firstLineChars="200" w:firstLine="420"/>
      </w:pPr>
      <w:r>
        <w:t>公司新建项目管理工作由</w:t>
      </w:r>
      <w:r>
        <w:rPr>
          <w:rFonts w:hint="eastAsia"/>
        </w:rPr>
        <w:t>子公司深圳市前海东江生态环境服务有限公司</w:t>
      </w:r>
      <w:r>
        <w:t>负责，按照公司分级授权体系，设立项目管理组，对新建项目实行项目建设全过程管理。在项目招标、建设、管理、验收等各环节分别制定了相关的管理制度，包括《项目建设管理</w:t>
      </w:r>
      <w:r>
        <w:rPr>
          <w:rFonts w:hint="eastAsia"/>
        </w:rPr>
        <w:t>制度</w:t>
      </w:r>
      <w:r>
        <w:t>》《</w:t>
      </w:r>
      <w:r>
        <w:rPr>
          <w:rFonts w:hint="eastAsia"/>
        </w:rPr>
        <w:t>建设</w:t>
      </w:r>
      <w:r>
        <w:t>项目计划管理规定》《建设项目变更签证管理规定》</w:t>
      </w:r>
      <w:r>
        <w:rPr>
          <w:rFonts w:hint="eastAsia"/>
        </w:rPr>
        <w:t>《建设项目造价管理制度》</w:t>
      </w:r>
      <w:r>
        <w:t>《</w:t>
      </w:r>
      <w:r>
        <w:rPr>
          <w:rFonts w:hint="eastAsia"/>
        </w:rPr>
        <w:t>工程档案管理细则》等，强化工程建设过程监督管理机制。</w:t>
      </w:r>
    </w:p>
    <w:p w14:paraId="45D82512" w14:textId="77777777" w:rsidR="00081B83" w:rsidRDefault="00000000">
      <w:pPr>
        <w:spacing w:line="360" w:lineRule="auto"/>
        <w:ind w:leftChars="135" w:left="283" w:rightChars="242" w:right="508" w:firstLineChars="200" w:firstLine="420"/>
        <w:outlineLvl w:val="2"/>
      </w:pPr>
      <w:r>
        <w:t>（</w:t>
      </w:r>
      <w:r>
        <w:t>18</w:t>
      </w:r>
      <w:r>
        <w:t>）研发与技术管理</w:t>
      </w:r>
    </w:p>
    <w:p w14:paraId="1012FDAE" w14:textId="1F216804" w:rsidR="00081B83" w:rsidRDefault="00000000">
      <w:pPr>
        <w:spacing w:line="360" w:lineRule="auto"/>
        <w:ind w:leftChars="135" w:left="283" w:rightChars="242" w:right="508" w:firstLineChars="200" w:firstLine="420"/>
      </w:pPr>
      <w:r>
        <w:rPr>
          <w:rFonts w:hint="eastAsia"/>
        </w:rPr>
        <w:t>公司设立科技创新与数智化部统筹科技创新和数智化体系管理工作，以服务战略、支撑转型、创造价值为核心，推进公司科技创新和数智化体系机制、标准及制度建设，负责公司科研项目、技改项目、知识产权、科研平台管理，申请并维护科</w:t>
      </w:r>
      <w:r>
        <w:rPr>
          <w:rFonts w:hint="eastAsia"/>
        </w:rPr>
        <w:lastRenderedPageBreak/>
        <w:t>技成果，开展技术交流与合作，组织推动科研项目技术攻关、落地转化应用见实效；同时统筹公司数智化项目的建设实施，指导所属单位的数字服务平台及数智化转型工作。公司持续深化研究院改革，打造</w:t>
      </w:r>
      <w:r>
        <w:rPr>
          <w:rFonts w:hint="eastAsia"/>
        </w:rPr>
        <w:t>4</w:t>
      </w:r>
      <w:r>
        <w:rPr>
          <w:rFonts w:hint="eastAsia"/>
        </w:rPr>
        <w:t>个研发中心</w:t>
      </w:r>
      <w:r>
        <w:rPr>
          <w:rFonts w:hint="eastAsia"/>
        </w:rPr>
        <w:t>+1</w:t>
      </w:r>
      <w:r>
        <w:rPr>
          <w:rFonts w:hint="eastAsia"/>
        </w:rPr>
        <w:t>个中试基地</w:t>
      </w:r>
      <w:r>
        <w:rPr>
          <w:rFonts w:hint="eastAsia"/>
        </w:rPr>
        <w:t>+N</w:t>
      </w:r>
      <w:r>
        <w:rPr>
          <w:rFonts w:hint="eastAsia"/>
        </w:rPr>
        <w:t>个生产基地的科研产业化平台，结合博士后科研工作站、省重点实验室等科研平台，推动研发及产业化落地。落实研发人员下沉生产一线机制，紧贴生产与市场需求，发挥研发技术人才最大效能，培养复合型技术管理人才；负责博士后的研究工作开展、成果应用，推进博士后科研工作站、省重点实验室等研发平台建设。组建核心攻关团队，锚定公司核心业务及重大战略项目，集中力量协同突破，发力新赛道探索，攻坚共性技术难题与“卡脖子”关键技术，系统性增强公司科研创新实力和技术核心竞争力，助推公司产业转型升级，实现高质量发展。</w:t>
      </w:r>
    </w:p>
    <w:p w14:paraId="439AC365" w14:textId="77777777" w:rsidR="00081B83" w:rsidRDefault="00000000">
      <w:pPr>
        <w:spacing w:line="360" w:lineRule="auto"/>
        <w:ind w:leftChars="135" w:left="283" w:rightChars="242" w:right="508" w:firstLineChars="200" w:firstLine="420"/>
        <w:outlineLvl w:val="2"/>
        <w:rPr>
          <w:highlight w:val="yellow"/>
        </w:rPr>
      </w:pPr>
      <w:r>
        <w:t>（</w:t>
      </w:r>
      <w:r>
        <w:t>19</w:t>
      </w:r>
      <w:r>
        <w:t>）工业废物业务管理</w:t>
      </w:r>
    </w:p>
    <w:p w14:paraId="2346C299" w14:textId="77777777" w:rsidR="00081B83" w:rsidRDefault="00000000">
      <w:pPr>
        <w:spacing w:line="360" w:lineRule="auto"/>
        <w:ind w:leftChars="135" w:left="283" w:rightChars="242" w:right="508" w:firstLineChars="200" w:firstLine="420"/>
      </w:pPr>
      <w:r>
        <w:t>公司不断完善工业废物处理处置</w:t>
      </w:r>
      <w:r>
        <w:rPr>
          <w:rFonts w:hint="eastAsia"/>
        </w:rPr>
        <w:t>与资源综合回收利用</w:t>
      </w:r>
      <w:r>
        <w:t>相关制度、规范、流程，并在实际工作中严格执行。公司重视工业废物处理处置</w:t>
      </w:r>
      <w:r>
        <w:rPr>
          <w:rFonts w:hint="eastAsia"/>
        </w:rPr>
        <w:t>与资源综合回收利用</w:t>
      </w:r>
      <w:r>
        <w:t>的过程控制和管理，对工业废物收集、运输、检测、储存、生产及处置等各环节进行了严格规范和控制</w:t>
      </w:r>
      <w:r>
        <w:rPr>
          <w:rFonts w:hint="eastAsia"/>
        </w:rPr>
        <w:t>，</w:t>
      </w:r>
      <w:r>
        <w:t>严格按照国家标准</w:t>
      </w:r>
      <w:r>
        <w:rPr>
          <w:rFonts w:hint="eastAsia"/>
        </w:rPr>
        <w:t>对</w:t>
      </w:r>
      <w:r>
        <w:t>工业废物处理处置</w:t>
      </w:r>
      <w:r>
        <w:rPr>
          <w:rFonts w:hint="eastAsia"/>
        </w:rPr>
        <w:t>与资源综合回收利用进行达</w:t>
      </w:r>
      <w:r>
        <w:t>标排放，产生的二次废物</w:t>
      </w:r>
      <w:r>
        <w:rPr>
          <w:rFonts w:hint="eastAsia"/>
        </w:rPr>
        <w:t>亦</w:t>
      </w:r>
      <w:r>
        <w:t>严格按国家</w:t>
      </w:r>
      <w:r>
        <w:rPr>
          <w:rFonts w:hint="eastAsia"/>
        </w:rPr>
        <w:t>标准</w:t>
      </w:r>
      <w:r>
        <w:t>处理。</w:t>
      </w:r>
    </w:p>
    <w:p w14:paraId="6CA4374E" w14:textId="77777777" w:rsidR="00081B83" w:rsidRDefault="00000000">
      <w:pPr>
        <w:spacing w:line="360" w:lineRule="auto"/>
        <w:ind w:leftChars="135" w:left="283" w:rightChars="242" w:right="508" w:firstLineChars="200" w:firstLine="420"/>
        <w:outlineLvl w:val="2"/>
        <w:rPr>
          <w:highlight w:val="yellow"/>
        </w:rPr>
      </w:pPr>
      <w:r>
        <w:t>（</w:t>
      </w:r>
      <w:r>
        <w:t>20</w:t>
      </w:r>
      <w:r>
        <w:t>）</w:t>
      </w:r>
      <w:r>
        <w:rPr>
          <w:rFonts w:hint="eastAsia"/>
        </w:rPr>
        <w:t>稀贵金属回收利用</w:t>
      </w:r>
      <w:r>
        <w:t>业务管理</w:t>
      </w:r>
    </w:p>
    <w:p w14:paraId="72EA8F5D" w14:textId="77777777" w:rsidR="00081B83" w:rsidRDefault="00000000">
      <w:pPr>
        <w:spacing w:line="360" w:lineRule="auto"/>
        <w:ind w:leftChars="135" w:left="283" w:rightChars="242" w:right="508" w:firstLineChars="200" w:firstLine="420"/>
      </w:pPr>
      <w:r>
        <w:rPr>
          <w:rFonts w:hint="eastAsia"/>
        </w:rPr>
        <w:t>公司对稀贵金属回收利用业务的采购管理、存货管理、销售管理、生产安全、设备管理等各环节制定了相应的管理制度，并严格按照制度执行，确保稀贵金属回收利用业务管理符合内控管理规范。</w:t>
      </w:r>
    </w:p>
    <w:p w14:paraId="2B8ACF82" w14:textId="77777777" w:rsidR="00081B83" w:rsidRDefault="00000000">
      <w:pPr>
        <w:spacing w:line="360" w:lineRule="auto"/>
        <w:ind w:leftChars="135" w:left="283" w:rightChars="242" w:right="508" w:firstLineChars="200" w:firstLine="420"/>
        <w:outlineLvl w:val="2"/>
      </w:pPr>
      <w:r>
        <w:t>（</w:t>
      </w:r>
      <w:r>
        <w:t>21</w:t>
      </w:r>
      <w:r>
        <w:t>）环保服务工程建设管理</w:t>
      </w:r>
    </w:p>
    <w:p w14:paraId="07477749" w14:textId="77777777" w:rsidR="00081B83" w:rsidRDefault="00000000">
      <w:pPr>
        <w:spacing w:line="360" w:lineRule="auto"/>
        <w:ind w:leftChars="135" w:left="283" w:rightChars="242" w:right="508" w:firstLineChars="200" w:firstLine="420"/>
      </w:pPr>
      <w:r>
        <w:t>公司建立和完善了环保服务工程建设的各项管理制度，全面梳理了各个环节可能存在的风险点，规范了工程立项、招标、造价、建设、验收等环节的工作流程，明确了相关部门和岗位的职责权限，做到可行性研究与决策、概预算编制与审核、项目实施与价款支付、竣工决算与审计等不相容职务相互分离，并强化了工程建设全过程的监控，以确保工程项目的质量、进度和成本可控。</w:t>
      </w:r>
    </w:p>
    <w:p w14:paraId="5BB7E2D1" w14:textId="77777777" w:rsidR="00081B83" w:rsidRDefault="00000000">
      <w:pPr>
        <w:spacing w:line="360" w:lineRule="auto"/>
        <w:ind w:leftChars="135" w:left="283" w:rightChars="242" w:right="508" w:firstLineChars="200" w:firstLine="420"/>
        <w:outlineLvl w:val="2"/>
        <w:rPr>
          <w:color w:val="FF0000"/>
          <w:highlight w:val="yellow"/>
        </w:rPr>
      </w:pPr>
      <w:r>
        <w:t>（</w:t>
      </w:r>
      <w:r>
        <w:t>22</w:t>
      </w:r>
      <w:r>
        <w:t>）环保服务运营管理</w:t>
      </w:r>
    </w:p>
    <w:p w14:paraId="388547B7" w14:textId="77777777" w:rsidR="00081B83" w:rsidRDefault="00000000">
      <w:pPr>
        <w:spacing w:line="360" w:lineRule="auto"/>
        <w:ind w:leftChars="135" w:left="283" w:rightChars="242" w:right="508" w:firstLineChars="200" w:firstLine="420"/>
      </w:pPr>
      <w:r>
        <w:t>为提升环保运营服务水平，公司对环保运营服务在设计、运行、评价和改进各环节的关键流程进行持续梳理优化，对污水处理等业务制定了相关管理制度并严格执行，确保环保服务运营过程中的人员安全、物资安全及环境安全。</w:t>
      </w:r>
    </w:p>
    <w:p w14:paraId="6C1CFE83" w14:textId="77777777" w:rsidR="00081B83" w:rsidRDefault="00000000">
      <w:pPr>
        <w:spacing w:line="360" w:lineRule="auto"/>
        <w:ind w:leftChars="135" w:left="283" w:rightChars="242" w:right="508" w:firstLineChars="200" w:firstLine="420"/>
        <w:outlineLvl w:val="2"/>
      </w:pPr>
      <w:r>
        <w:lastRenderedPageBreak/>
        <w:t>（</w:t>
      </w:r>
      <w:r>
        <w:t>23</w:t>
      </w:r>
      <w:r>
        <w:t>）市政废物业务管理</w:t>
      </w:r>
    </w:p>
    <w:p w14:paraId="2F5CC8EC" w14:textId="77777777" w:rsidR="00081B83" w:rsidRDefault="00000000">
      <w:pPr>
        <w:spacing w:line="360" w:lineRule="auto"/>
        <w:ind w:leftChars="135" w:left="283" w:rightChars="242" w:right="508" w:firstLineChars="200" w:firstLine="420"/>
      </w:pPr>
      <w:r>
        <w:t>市政废物业务包括填埋气发电等项目，公司</w:t>
      </w:r>
      <w:r>
        <w:rPr>
          <w:rFonts w:hint="eastAsia"/>
        </w:rPr>
        <w:t>对</w:t>
      </w:r>
      <w:r>
        <w:t>设备管理、采购管理、存货管理、处理处置流程等各环节进行持续梳理优化，针对各业务制定了相应的管理制度，并严格按照制度执行，确保市政废物业务管理符合内控管理规范。</w:t>
      </w:r>
    </w:p>
    <w:p w14:paraId="1594DDC7" w14:textId="77777777" w:rsidR="00081B83" w:rsidRDefault="00000000">
      <w:pPr>
        <w:spacing w:line="360" w:lineRule="auto"/>
        <w:ind w:leftChars="135" w:left="283" w:rightChars="242" w:right="508" w:firstLineChars="200" w:firstLine="420"/>
      </w:pPr>
      <w:r>
        <w:t>上述纳入评价范围的单位、业务和事项以及高风险领域涵盖了公司经营管理的主要方面，不存在重大遗漏。</w:t>
      </w:r>
    </w:p>
    <w:p w14:paraId="0B0CDF2E" w14:textId="77777777" w:rsidR="00081B83" w:rsidRDefault="00000000">
      <w:pPr>
        <w:spacing w:line="360" w:lineRule="auto"/>
        <w:ind w:leftChars="135" w:left="283" w:rightChars="242" w:right="508" w:firstLineChars="200" w:firstLine="482"/>
        <w:outlineLvl w:val="1"/>
        <w:rPr>
          <w:b/>
          <w:sz w:val="24"/>
          <w:szCs w:val="24"/>
        </w:rPr>
      </w:pPr>
      <w:r>
        <w:rPr>
          <w:b/>
          <w:sz w:val="24"/>
          <w:szCs w:val="24"/>
        </w:rPr>
        <w:t>（二）内部控制评价工作依据及内部控制缺陷认定标准</w:t>
      </w:r>
    </w:p>
    <w:p w14:paraId="07DAB0EB" w14:textId="77777777" w:rsidR="00081B83" w:rsidRDefault="00000000">
      <w:pPr>
        <w:spacing w:line="360" w:lineRule="auto"/>
        <w:ind w:leftChars="135" w:left="283" w:rightChars="242" w:right="508" w:firstLineChars="200" w:firstLine="420"/>
      </w:pPr>
      <w:r>
        <w:t>公司依据企业内部控制规范体系组织开展内部控制评价工作。</w:t>
      </w:r>
    </w:p>
    <w:p w14:paraId="6BC1EC9A" w14:textId="77777777" w:rsidR="00081B83" w:rsidRDefault="00000000">
      <w:pPr>
        <w:spacing w:line="360" w:lineRule="auto"/>
        <w:ind w:leftChars="135" w:left="283" w:rightChars="242" w:right="508" w:firstLineChars="200" w:firstLine="420"/>
      </w:pPr>
      <w:r>
        <w:t>公司董事会根据企业内部控制规范体系对重大缺陷、重要缺陷和一般缺陷的认定要求，结合公司规模、行业特征、风险偏好和风险承受度等因素，研究确定了适用于本公司的内部控制缺陷具体认定标准</w:t>
      </w:r>
      <w:r>
        <w:rPr>
          <w:rFonts w:hint="eastAsia"/>
        </w:rPr>
        <w:t>，包含</w:t>
      </w:r>
      <w:r>
        <w:t>财务报告</w:t>
      </w:r>
      <w:r>
        <w:rPr>
          <w:rFonts w:hint="eastAsia"/>
        </w:rPr>
        <w:t>和</w:t>
      </w:r>
      <w:r>
        <w:t>非财务报告内部控制</w:t>
      </w:r>
      <w:r>
        <w:rPr>
          <w:rFonts w:hint="eastAsia"/>
        </w:rPr>
        <w:t>缺陷标准</w:t>
      </w:r>
      <w:r>
        <w:t>。</w:t>
      </w:r>
      <w:r>
        <w:rPr>
          <w:rFonts w:hint="eastAsia"/>
        </w:rPr>
        <w:t>具体</w:t>
      </w:r>
      <w:r>
        <w:t>如下：</w:t>
      </w:r>
    </w:p>
    <w:p w14:paraId="099EC9DB" w14:textId="77777777" w:rsidR="00081B83" w:rsidRDefault="00000000">
      <w:pPr>
        <w:spacing w:line="360" w:lineRule="auto"/>
        <w:ind w:leftChars="135" w:left="283" w:rightChars="242" w:right="508" w:firstLineChars="200" w:firstLine="420"/>
        <w:outlineLvl w:val="2"/>
      </w:pPr>
      <w:r>
        <w:t>1</w:t>
      </w:r>
      <w:r>
        <w:t>、财务报告内部控制缺陷认定标准</w:t>
      </w:r>
    </w:p>
    <w:p w14:paraId="2BB29E6B" w14:textId="77777777" w:rsidR="00081B83" w:rsidRDefault="00000000">
      <w:pPr>
        <w:spacing w:line="360" w:lineRule="auto"/>
        <w:ind w:leftChars="135" w:left="283" w:rightChars="242" w:right="508" w:firstLineChars="200" w:firstLine="420"/>
      </w:pPr>
      <w:r>
        <w:t>（</w:t>
      </w:r>
      <w:r>
        <w:t>1</w:t>
      </w:r>
      <w:r>
        <w:t>）财务报告内部控制缺陷评价的定量标准如下：</w:t>
      </w:r>
    </w:p>
    <w:tbl>
      <w:tblPr>
        <w:tblStyle w:val="ad"/>
        <w:tblW w:w="8647" w:type="dxa"/>
        <w:tblInd w:w="-147" w:type="dxa"/>
        <w:tblLook w:val="04A0" w:firstRow="1" w:lastRow="0" w:firstColumn="1" w:lastColumn="0" w:noHBand="0" w:noVBand="1"/>
      </w:tblPr>
      <w:tblGrid>
        <w:gridCol w:w="1702"/>
        <w:gridCol w:w="1984"/>
        <w:gridCol w:w="2835"/>
        <w:gridCol w:w="2126"/>
      </w:tblGrid>
      <w:tr w:rsidR="00081B83" w14:paraId="650FDBC7" w14:textId="77777777">
        <w:tc>
          <w:tcPr>
            <w:tcW w:w="1702" w:type="dxa"/>
            <w:vAlign w:val="center"/>
          </w:tcPr>
          <w:p w14:paraId="7E7429C3" w14:textId="77777777" w:rsidR="00081B83" w:rsidRDefault="00000000">
            <w:pPr>
              <w:spacing w:line="360" w:lineRule="auto"/>
              <w:ind w:rightChars="242" w:right="508"/>
              <w:jc w:val="center"/>
            </w:pPr>
            <w:r>
              <w:rPr>
                <w:rFonts w:hint="eastAsia"/>
              </w:rPr>
              <w:t>缺陷等级</w:t>
            </w:r>
          </w:p>
        </w:tc>
        <w:tc>
          <w:tcPr>
            <w:tcW w:w="1984" w:type="dxa"/>
            <w:vAlign w:val="center"/>
          </w:tcPr>
          <w:p w14:paraId="49731533" w14:textId="77777777" w:rsidR="00081B83" w:rsidRDefault="00000000">
            <w:pPr>
              <w:spacing w:line="360" w:lineRule="auto"/>
              <w:ind w:rightChars="242" w:right="508"/>
              <w:jc w:val="center"/>
            </w:pPr>
            <w:r>
              <w:rPr>
                <w:rFonts w:hint="eastAsia"/>
              </w:rPr>
              <w:t>重大缺陷</w:t>
            </w:r>
          </w:p>
        </w:tc>
        <w:tc>
          <w:tcPr>
            <w:tcW w:w="2835" w:type="dxa"/>
            <w:vAlign w:val="center"/>
          </w:tcPr>
          <w:p w14:paraId="5F012D00" w14:textId="77777777" w:rsidR="00081B83" w:rsidRDefault="00000000">
            <w:pPr>
              <w:spacing w:line="360" w:lineRule="auto"/>
              <w:ind w:rightChars="242" w:right="508"/>
              <w:jc w:val="center"/>
            </w:pPr>
            <w:r>
              <w:rPr>
                <w:rFonts w:hint="eastAsia"/>
              </w:rPr>
              <w:t>重要缺陷</w:t>
            </w:r>
          </w:p>
        </w:tc>
        <w:tc>
          <w:tcPr>
            <w:tcW w:w="2126" w:type="dxa"/>
            <w:vAlign w:val="center"/>
          </w:tcPr>
          <w:p w14:paraId="4B285348" w14:textId="77777777" w:rsidR="00081B83" w:rsidRDefault="00000000">
            <w:pPr>
              <w:spacing w:line="360" w:lineRule="auto"/>
              <w:ind w:rightChars="242" w:right="508"/>
              <w:jc w:val="center"/>
            </w:pPr>
            <w:r>
              <w:rPr>
                <w:rFonts w:hint="eastAsia"/>
              </w:rPr>
              <w:t>一般缺陷</w:t>
            </w:r>
          </w:p>
        </w:tc>
      </w:tr>
      <w:tr w:rsidR="00081B83" w14:paraId="17DAB220" w14:textId="77777777">
        <w:tc>
          <w:tcPr>
            <w:tcW w:w="1702" w:type="dxa"/>
            <w:vAlign w:val="center"/>
          </w:tcPr>
          <w:p w14:paraId="2C6F4D57" w14:textId="77777777" w:rsidR="00081B83" w:rsidRDefault="00000000">
            <w:r>
              <w:t>总体评价标准</w:t>
            </w:r>
          </w:p>
        </w:tc>
        <w:tc>
          <w:tcPr>
            <w:tcW w:w="1984" w:type="dxa"/>
            <w:vAlign w:val="center"/>
          </w:tcPr>
          <w:p w14:paraId="44F6D999" w14:textId="77777777" w:rsidR="00081B83" w:rsidRDefault="00000000">
            <w:r>
              <w:t>由该缺陷或缺</w:t>
            </w:r>
            <w:r>
              <w:rPr>
                <w:rFonts w:hint="eastAsia"/>
              </w:rPr>
              <w:t>陷</w:t>
            </w:r>
            <w:r>
              <w:t>组合可能导致的财务报表错报大于</w:t>
            </w:r>
            <w:r>
              <w:rPr>
                <w:rFonts w:hint="eastAsia"/>
              </w:rPr>
              <w:t>年度营业收入的</w:t>
            </w:r>
            <w:r>
              <w:rPr>
                <w:rFonts w:hint="eastAsia"/>
              </w:rPr>
              <w:t>1%</w:t>
            </w:r>
          </w:p>
        </w:tc>
        <w:tc>
          <w:tcPr>
            <w:tcW w:w="2835" w:type="dxa"/>
            <w:vAlign w:val="center"/>
          </w:tcPr>
          <w:p w14:paraId="4D069800" w14:textId="77777777" w:rsidR="00081B83" w:rsidRDefault="00000000">
            <w:r>
              <w:rPr>
                <w:rFonts w:hint="eastAsia"/>
              </w:rPr>
              <w:t>由该缺陷或缺陷组合可能导致的财</w:t>
            </w:r>
            <w:r>
              <w:t>务</w:t>
            </w:r>
            <w:r>
              <w:rPr>
                <w:rFonts w:hint="eastAsia"/>
              </w:rPr>
              <w:t>报表错报大于年度营业收入的</w:t>
            </w:r>
            <w:r>
              <w:rPr>
                <w:rFonts w:hint="eastAsia"/>
              </w:rPr>
              <w:t>0.5%</w:t>
            </w:r>
            <w:r>
              <w:rPr>
                <w:rFonts w:hint="eastAsia"/>
              </w:rPr>
              <w:t>且小于或等于年度营业收入的</w:t>
            </w:r>
            <w:r>
              <w:rPr>
                <w:rFonts w:hint="eastAsia"/>
              </w:rPr>
              <w:t>1%</w:t>
            </w:r>
          </w:p>
        </w:tc>
        <w:tc>
          <w:tcPr>
            <w:tcW w:w="2126" w:type="dxa"/>
            <w:vAlign w:val="center"/>
          </w:tcPr>
          <w:p w14:paraId="1102148A" w14:textId="77777777" w:rsidR="00081B83" w:rsidRDefault="00000000">
            <w:r>
              <w:rPr>
                <w:rFonts w:hint="eastAsia"/>
              </w:rPr>
              <w:t>由该缺陷或缺陷组合可能导致的财务报表错报小于或等于年度营业收入的</w:t>
            </w:r>
            <w:r>
              <w:rPr>
                <w:rFonts w:hint="eastAsia"/>
              </w:rPr>
              <w:t>0.5%</w:t>
            </w:r>
          </w:p>
        </w:tc>
      </w:tr>
    </w:tbl>
    <w:p w14:paraId="3BF02DBF" w14:textId="77777777" w:rsidR="00081B83" w:rsidRDefault="00000000">
      <w:pPr>
        <w:spacing w:line="360" w:lineRule="auto"/>
        <w:ind w:leftChars="135" w:left="283" w:rightChars="242" w:right="508" w:firstLineChars="200" w:firstLine="420"/>
      </w:pPr>
      <w:r>
        <w:t>（</w:t>
      </w:r>
      <w:r>
        <w:t>2</w:t>
      </w:r>
      <w:r>
        <w:t>）财务报告内部控制缺陷评价的定性标准如下：</w:t>
      </w:r>
    </w:p>
    <w:p w14:paraId="0817D41A" w14:textId="77777777" w:rsidR="00081B83" w:rsidRDefault="00000000">
      <w:pPr>
        <w:spacing w:line="360" w:lineRule="auto"/>
        <w:ind w:leftChars="135" w:left="283" w:rightChars="242" w:right="508" w:firstLineChars="200" w:firstLine="420"/>
      </w:pPr>
      <w:r>
        <w:t>1</w:t>
      </w:r>
      <w:r>
        <w:rPr>
          <w:rFonts w:hint="eastAsia"/>
        </w:rPr>
        <w:t>）</w:t>
      </w:r>
      <w:r>
        <w:t>如果一项缺陷或者缺陷组合导致不能防止或发现并纠正如下行为</w:t>
      </w:r>
      <w:r>
        <w:t>/</w:t>
      </w:r>
      <w:r>
        <w:t>事项，或者该缺陷或缺陷组合能够直接导致如下行为</w:t>
      </w:r>
      <w:r>
        <w:t>/</w:t>
      </w:r>
      <w:r>
        <w:t>事项的发生，该缺陷或缺陷组合被认定为重大缺陷：</w:t>
      </w:r>
    </w:p>
    <w:p w14:paraId="1530A983" w14:textId="5FA0130E" w:rsidR="00081B83" w:rsidRDefault="00000000">
      <w:pPr>
        <w:spacing w:line="360" w:lineRule="auto"/>
        <w:ind w:leftChars="135" w:left="283" w:rightChars="242" w:right="508" w:firstLineChars="200" w:firstLine="420"/>
      </w:pPr>
      <w:r>
        <w:t>A</w:t>
      </w:r>
      <w:r>
        <w:rPr>
          <w:rFonts w:hint="eastAsia"/>
        </w:rPr>
        <w:t>.</w:t>
      </w:r>
      <w:r>
        <w:t>董事</w:t>
      </w:r>
      <w:r>
        <w:rPr>
          <w:rFonts w:hint="eastAsia"/>
        </w:rPr>
        <w:t>、</w:t>
      </w:r>
      <w:r>
        <w:t>高级管理人员舞弊；</w:t>
      </w:r>
    </w:p>
    <w:p w14:paraId="06E3C5AF" w14:textId="1B07E35E" w:rsidR="00081B83" w:rsidRDefault="00000000">
      <w:pPr>
        <w:spacing w:line="360" w:lineRule="auto"/>
        <w:ind w:leftChars="135" w:left="283" w:rightChars="242" w:right="508" w:firstLineChars="200" w:firstLine="420"/>
      </w:pPr>
      <w:r>
        <w:t>B</w:t>
      </w:r>
      <w:r>
        <w:rPr>
          <w:rFonts w:hint="eastAsia"/>
        </w:rPr>
        <w:t>.</w:t>
      </w:r>
      <w:r>
        <w:t>公司更正已公布的财务报告；</w:t>
      </w:r>
    </w:p>
    <w:p w14:paraId="6B237BCD" w14:textId="18AA5A7A" w:rsidR="00081B83" w:rsidRDefault="00000000">
      <w:pPr>
        <w:spacing w:line="360" w:lineRule="auto"/>
        <w:ind w:leftChars="135" w:left="283" w:rightChars="242" w:right="508" w:firstLineChars="200" w:firstLine="420"/>
      </w:pPr>
      <w:r>
        <w:t>C</w:t>
      </w:r>
      <w:r>
        <w:rPr>
          <w:rFonts w:hint="eastAsia"/>
        </w:rPr>
        <w:t>.</w:t>
      </w:r>
      <w:r>
        <w:t>注册会计师发现当期财务报告存在重大错报，而内部控制在运行过程中未能发现该错报；</w:t>
      </w:r>
    </w:p>
    <w:p w14:paraId="4B514E46" w14:textId="5A5DBF2E" w:rsidR="00081B83" w:rsidRDefault="00000000">
      <w:pPr>
        <w:spacing w:line="360" w:lineRule="auto"/>
        <w:ind w:leftChars="135" w:left="283" w:rightChars="242" w:right="508" w:firstLineChars="200" w:firstLine="420"/>
      </w:pPr>
      <w:r>
        <w:t>D</w:t>
      </w:r>
      <w:r>
        <w:rPr>
          <w:rFonts w:hint="eastAsia"/>
        </w:rPr>
        <w:t>.</w:t>
      </w:r>
      <w:r>
        <w:t>公司审计</w:t>
      </w:r>
      <w:r>
        <w:rPr>
          <w:rFonts w:hint="eastAsia"/>
        </w:rPr>
        <w:t>与风险管理</w:t>
      </w:r>
      <w:r>
        <w:t>委员会和内部审计机构对内部控制的监督无效。</w:t>
      </w:r>
    </w:p>
    <w:p w14:paraId="0934B55D" w14:textId="77777777" w:rsidR="00081B83" w:rsidRDefault="00000000">
      <w:pPr>
        <w:spacing w:line="360" w:lineRule="auto"/>
        <w:ind w:leftChars="135" w:left="283" w:rightChars="242" w:right="508" w:firstLineChars="200" w:firstLine="420"/>
      </w:pPr>
      <w:r>
        <w:t>2</w:t>
      </w:r>
      <w:r>
        <w:rPr>
          <w:rFonts w:hint="eastAsia"/>
        </w:rPr>
        <w:t>）</w:t>
      </w:r>
      <w:r>
        <w:t>如果一项缺陷或者缺陷组合导致不能防止或发现并纠正如下行为</w:t>
      </w:r>
      <w:r>
        <w:t>/</w:t>
      </w:r>
      <w:r>
        <w:t>事项，或者该缺陷或缺陷组合能够直接导致如下行为</w:t>
      </w:r>
      <w:r>
        <w:t>/</w:t>
      </w:r>
      <w:r>
        <w:t>事项的发生，该缺陷或缺陷组合被认定为重要缺陷：</w:t>
      </w:r>
    </w:p>
    <w:p w14:paraId="461E73C5" w14:textId="597C1EC7" w:rsidR="00081B83" w:rsidRDefault="00000000">
      <w:pPr>
        <w:spacing w:line="360" w:lineRule="auto"/>
        <w:ind w:leftChars="305" w:left="850" w:rightChars="242" w:right="508" w:hangingChars="100" w:hanging="210"/>
      </w:pPr>
      <w:r>
        <w:lastRenderedPageBreak/>
        <w:t>A</w:t>
      </w:r>
      <w:r>
        <w:rPr>
          <w:rFonts w:hint="eastAsia"/>
        </w:rPr>
        <w:t>.</w:t>
      </w:r>
      <w:r>
        <w:t>未依照公认会计准则选择和应用会计政策、未建立反舞弊程序和控制措施</w:t>
      </w:r>
      <w:r>
        <w:rPr>
          <w:rFonts w:hint="eastAsia"/>
        </w:rPr>
        <w:t>；</w:t>
      </w:r>
    </w:p>
    <w:p w14:paraId="194C353E" w14:textId="09B594AF" w:rsidR="00081B83" w:rsidRDefault="00000000">
      <w:pPr>
        <w:spacing w:line="360" w:lineRule="auto"/>
        <w:ind w:rightChars="242" w:right="508" w:firstLineChars="300" w:firstLine="630"/>
      </w:pPr>
      <w:r>
        <w:t>B</w:t>
      </w:r>
      <w:r>
        <w:rPr>
          <w:rFonts w:hint="eastAsia"/>
        </w:rPr>
        <w:t>.</w:t>
      </w:r>
      <w:r>
        <w:t>对于非常规或特殊交易的账务处理没有建立相应的控制机制或没有实施且没有相应的补偿性控制；</w:t>
      </w:r>
    </w:p>
    <w:p w14:paraId="1BA35BD9" w14:textId="1615AFA1" w:rsidR="00081B83" w:rsidRDefault="00000000">
      <w:pPr>
        <w:spacing w:line="360" w:lineRule="auto"/>
        <w:ind w:rightChars="242" w:right="508" w:firstLineChars="300" w:firstLine="630"/>
      </w:pPr>
      <w:r>
        <w:t>C</w:t>
      </w:r>
      <w:r>
        <w:rPr>
          <w:rFonts w:hint="eastAsia"/>
        </w:rPr>
        <w:t>.</w:t>
      </w:r>
      <w:r>
        <w:t>对于期末财务报告过程的控制存在一项或多项缺陷且不能合理保证编制的财务报表达到真实、准确的目标。</w:t>
      </w:r>
    </w:p>
    <w:p w14:paraId="650762E1" w14:textId="77777777" w:rsidR="00081B83" w:rsidRDefault="00000000">
      <w:pPr>
        <w:spacing w:line="360" w:lineRule="auto"/>
        <w:ind w:leftChars="335" w:left="913" w:rightChars="242" w:right="508" w:hangingChars="100" w:hanging="210"/>
      </w:pPr>
      <w:r>
        <w:t>3</w:t>
      </w:r>
      <w:r>
        <w:rPr>
          <w:rFonts w:hint="eastAsia"/>
        </w:rPr>
        <w:t>）</w:t>
      </w:r>
      <w:r>
        <w:t>上述重大缺陷、重要缺陷之外的其他财务报告控制缺陷认定为一般缺陷。</w:t>
      </w:r>
    </w:p>
    <w:p w14:paraId="676943C7" w14:textId="77777777" w:rsidR="00081B83" w:rsidRDefault="00000000">
      <w:pPr>
        <w:spacing w:line="360" w:lineRule="auto"/>
        <w:ind w:leftChars="335" w:left="913" w:rightChars="242" w:right="508" w:hangingChars="100" w:hanging="210"/>
        <w:outlineLvl w:val="2"/>
      </w:pPr>
      <w:r>
        <w:t>2</w:t>
      </w:r>
      <w:r>
        <w:t>、非财务报告内部控制缺陷认定标准</w:t>
      </w:r>
    </w:p>
    <w:p w14:paraId="4C5A14AA" w14:textId="77777777" w:rsidR="00081B83" w:rsidRDefault="00000000">
      <w:pPr>
        <w:spacing w:line="360" w:lineRule="auto"/>
        <w:ind w:leftChars="6" w:left="13" w:rightChars="242" w:right="508" w:firstLineChars="328" w:firstLine="689"/>
      </w:pPr>
      <w:r>
        <w:t>（</w:t>
      </w:r>
      <w:r>
        <w:t>1</w:t>
      </w:r>
      <w:r>
        <w:t>）非财务报告内部控制缺陷评价的定量标准</w:t>
      </w:r>
      <w:r>
        <w:rPr>
          <w:rFonts w:hint="eastAsia"/>
        </w:rPr>
        <w:t>参照财务报告内部控制缺陷的认定标准。</w:t>
      </w:r>
    </w:p>
    <w:p w14:paraId="36D7A2C3" w14:textId="77777777" w:rsidR="00081B83" w:rsidRDefault="00000000">
      <w:pPr>
        <w:spacing w:line="360" w:lineRule="auto"/>
        <w:ind w:leftChars="335" w:left="913" w:rightChars="242" w:right="508" w:hangingChars="100" w:hanging="210"/>
      </w:pPr>
      <w:r>
        <w:t>（</w:t>
      </w:r>
      <w:r>
        <w:t>2</w:t>
      </w:r>
      <w:r>
        <w:t>）非财务报告内部控制缺陷评价的定性标准如下：</w:t>
      </w:r>
    </w:p>
    <w:tbl>
      <w:tblPr>
        <w:tblStyle w:val="ad"/>
        <w:tblW w:w="8647" w:type="dxa"/>
        <w:tblInd w:w="-5" w:type="dxa"/>
        <w:tblLook w:val="04A0" w:firstRow="1" w:lastRow="0" w:firstColumn="1" w:lastColumn="0" w:noHBand="0" w:noVBand="1"/>
      </w:tblPr>
      <w:tblGrid>
        <w:gridCol w:w="709"/>
        <w:gridCol w:w="709"/>
        <w:gridCol w:w="2551"/>
        <w:gridCol w:w="2694"/>
        <w:gridCol w:w="1984"/>
      </w:tblGrid>
      <w:tr w:rsidR="00081B83" w14:paraId="039DFD35" w14:textId="77777777">
        <w:tc>
          <w:tcPr>
            <w:tcW w:w="709" w:type="dxa"/>
            <w:vAlign w:val="center"/>
          </w:tcPr>
          <w:p w14:paraId="098BE6FD" w14:textId="77777777" w:rsidR="00081B83" w:rsidRDefault="00000000">
            <w:r>
              <w:rPr>
                <w:rFonts w:hint="eastAsia"/>
              </w:rPr>
              <w:t>控制目标</w:t>
            </w:r>
          </w:p>
        </w:tc>
        <w:tc>
          <w:tcPr>
            <w:tcW w:w="709" w:type="dxa"/>
            <w:vAlign w:val="center"/>
          </w:tcPr>
          <w:p w14:paraId="57292AB6" w14:textId="77777777" w:rsidR="00081B83" w:rsidRDefault="00000000">
            <w:r>
              <w:rPr>
                <w:rFonts w:hint="eastAsia"/>
              </w:rPr>
              <w:t>内容</w:t>
            </w:r>
          </w:p>
        </w:tc>
        <w:tc>
          <w:tcPr>
            <w:tcW w:w="2551" w:type="dxa"/>
            <w:vAlign w:val="center"/>
          </w:tcPr>
          <w:p w14:paraId="615867CD" w14:textId="77777777" w:rsidR="00081B83" w:rsidRDefault="00000000">
            <w:pPr>
              <w:spacing w:line="360" w:lineRule="auto"/>
              <w:ind w:rightChars="242" w:right="508"/>
              <w:jc w:val="center"/>
            </w:pPr>
            <w:r>
              <w:rPr>
                <w:rFonts w:hint="eastAsia"/>
              </w:rPr>
              <w:t>重大缺陷</w:t>
            </w:r>
          </w:p>
        </w:tc>
        <w:tc>
          <w:tcPr>
            <w:tcW w:w="2694" w:type="dxa"/>
            <w:vAlign w:val="center"/>
          </w:tcPr>
          <w:p w14:paraId="1792FB97" w14:textId="77777777" w:rsidR="00081B83" w:rsidRDefault="00000000">
            <w:pPr>
              <w:spacing w:line="360" w:lineRule="auto"/>
              <w:ind w:rightChars="242" w:right="508"/>
              <w:jc w:val="center"/>
            </w:pPr>
            <w:r>
              <w:rPr>
                <w:rFonts w:hint="eastAsia"/>
              </w:rPr>
              <w:t>重要缺陷</w:t>
            </w:r>
          </w:p>
        </w:tc>
        <w:tc>
          <w:tcPr>
            <w:tcW w:w="1984" w:type="dxa"/>
            <w:vAlign w:val="center"/>
          </w:tcPr>
          <w:p w14:paraId="7CCA9AB5" w14:textId="77777777" w:rsidR="00081B83" w:rsidRDefault="00000000">
            <w:pPr>
              <w:spacing w:line="360" w:lineRule="auto"/>
              <w:ind w:rightChars="242" w:right="508"/>
              <w:jc w:val="center"/>
            </w:pPr>
            <w:r>
              <w:rPr>
                <w:rFonts w:hint="eastAsia"/>
              </w:rPr>
              <w:t>一般缺陷</w:t>
            </w:r>
          </w:p>
        </w:tc>
      </w:tr>
      <w:tr w:rsidR="00081B83" w14:paraId="13BD21FC" w14:textId="77777777">
        <w:tc>
          <w:tcPr>
            <w:tcW w:w="709" w:type="dxa"/>
            <w:vMerge w:val="restart"/>
            <w:vAlign w:val="center"/>
          </w:tcPr>
          <w:p w14:paraId="5F0779A6" w14:textId="77777777" w:rsidR="00081B83" w:rsidRDefault="00000000">
            <w:pPr>
              <w:jc w:val="center"/>
            </w:pPr>
            <w:r>
              <w:rPr>
                <w:rFonts w:hint="eastAsia"/>
              </w:rPr>
              <w:t>战略</w:t>
            </w:r>
          </w:p>
          <w:p w14:paraId="3CD2B344" w14:textId="77777777" w:rsidR="00081B83" w:rsidRDefault="00000000">
            <w:pPr>
              <w:jc w:val="center"/>
            </w:pPr>
            <w:r>
              <w:rPr>
                <w:rFonts w:hint="eastAsia"/>
              </w:rPr>
              <w:t>目标</w:t>
            </w:r>
          </w:p>
          <w:p w14:paraId="7A3408FF" w14:textId="77777777" w:rsidR="00081B83" w:rsidRDefault="00000000">
            <w:pPr>
              <w:jc w:val="center"/>
            </w:pPr>
            <w:r>
              <w:rPr>
                <w:rFonts w:hint="eastAsia"/>
              </w:rPr>
              <w:t>的实</w:t>
            </w:r>
          </w:p>
          <w:p w14:paraId="394A21E9" w14:textId="77777777" w:rsidR="00081B83" w:rsidRDefault="00000000">
            <w:pPr>
              <w:jc w:val="center"/>
            </w:pPr>
            <w:r>
              <w:rPr>
                <w:rFonts w:hint="eastAsia"/>
              </w:rPr>
              <w:t>现</w:t>
            </w:r>
          </w:p>
        </w:tc>
        <w:tc>
          <w:tcPr>
            <w:tcW w:w="709" w:type="dxa"/>
            <w:vAlign w:val="center"/>
          </w:tcPr>
          <w:p w14:paraId="6C03CA79" w14:textId="77777777" w:rsidR="00081B83" w:rsidRDefault="00000000">
            <w:pPr>
              <w:jc w:val="center"/>
            </w:pPr>
            <w:r>
              <w:rPr>
                <w:rFonts w:hint="eastAsia"/>
              </w:rPr>
              <w:t>战略</w:t>
            </w:r>
          </w:p>
          <w:p w14:paraId="687B7433" w14:textId="77777777" w:rsidR="00081B83" w:rsidRDefault="00000000">
            <w:pPr>
              <w:jc w:val="center"/>
            </w:pPr>
            <w:r>
              <w:rPr>
                <w:rFonts w:hint="eastAsia"/>
              </w:rPr>
              <w:t>方向</w:t>
            </w:r>
          </w:p>
        </w:tc>
        <w:tc>
          <w:tcPr>
            <w:tcW w:w="2551" w:type="dxa"/>
          </w:tcPr>
          <w:p w14:paraId="6325A643" w14:textId="77777777" w:rsidR="00081B83" w:rsidRDefault="00000000">
            <w:r>
              <w:rPr>
                <w:rFonts w:hint="eastAsia"/>
              </w:rPr>
              <w:t>发展方向严重偏离战略目标，投资方向、业务结构、商业模式等完全不能支持战略目标的实现</w:t>
            </w:r>
          </w:p>
        </w:tc>
        <w:tc>
          <w:tcPr>
            <w:tcW w:w="2694" w:type="dxa"/>
          </w:tcPr>
          <w:p w14:paraId="36683B19" w14:textId="77777777" w:rsidR="00081B83" w:rsidRDefault="00000000">
            <w:r>
              <w:rPr>
                <w:rFonts w:hint="eastAsia"/>
              </w:rPr>
              <w:t>发展方向较为严重的偏离战略目标，投资方向、业务结构、商业模式等较大程度上不能支持战略目标的实现</w:t>
            </w:r>
          </w:p>
        </w:tc>
        <w:tc>
          <w:tcPr>
            <w:tcW w:w="1984" w:type="dxa"/>
          </w:tcPr>
          <w:p w14:paraId="57AFF0FE" w14:textId="77777777" w:rsidR="00081B83" w:rsidRDefault="00000000">
            <w:r>
              <w:rPr>
                <w:rFonts w:hint="eastAsia"/>
              </w:rPr>
              <w:t>发展方向略微偏离战略目标，投资方向、业务结构、商业模式不能完全支持战略目标的实现</w:t>
            </w:r>
          </w:p>
        </w:tc>
      </w:tr>
      <w:tr w:rsidR="00081B83" w14:paraId="7B2FE96E" w14:textId="77777777">
        <w:tc>
          <w:tcPr>
            <w:tcW w:w="709" w:type="dxa"/>
            <w:vMerge/>
            <w:vAlign w:val="center"/>
          </w:tcPr>
          <w:p w14:paraId="59CD6EA0" w14:textId="77777777" w:rsidR="00081B83" w:rsidRDefault="00081B83">
            <w:pPr>
              <w:jc w:val="center"/>
            </w:pPr>
          </w:p>
        </w:tc>
        <w:tc>
          <w:tcPr>
            <w:tcW w:w="709" w:type="dxa"/>
            <w:vAlign w:val="center"/>
          </w:tcPr>
          <w:p w14:paraId="3919E52A" w14:textId="77777777" w:rsidR="00081B83" w:rsidRDefault="00000000">
            <w:pPr>
              <w:jc w:val="center"/>
            </w:pPr>
            <w:r>
              <w:rPr>
                <w:rFonts w:hint="eastAsia"/>
              </w:rPr>
              <w:t>实施</w:t>
            </w:r>
          </w:p>
          <w:p w14:paraId="31794B75" w14:textId="77777777" w:rsidR="00081B83" w:rsidRDefault="00000000">
            <w:pPr>
              <w:jc w:val="center"/>
            </w:pPr>
            <w:r>
              <w:rPr>
                <w:rFonts w:hint="eastAsia"/>
              </w:rPr>
              <w:t>进度</w:t>
            </w:r>
          </w:p>
        </w:tc>
        <w:tc>
          <w:tcPr>
            <w:tcW w:w="2551" w:type="dxa"/>
          </w:tcPr>
          <w:p w14:paraId="1550A11F" w14:textId="77777777" w:rsidR="00081B83" w:rsidRDefault="00000000">
            <w:r>
              <w:rPr>
                <w:rFonts w:hint="eastAsia"/>
              </w:rPr>
              <w:t>战略实施受阻，战略规划指标几乎全部不能按计划完成</w:t>
            </w:r>
          </w:p>
        </w:tc>
        <w:tc>
          <w:tcPr>
            <w:tcW w:w="2694" w:type="dxa"/>
          </w:tcPr>
          <w:p w14:paraId="5141DF07" w14:textId="77777777" w:rsidR="00081B83" w:rsidRDefault="00000000">
            <w:r>
              <w:rPr>
                <w:rFonts w:hint="eastAsia"/>
              </w:rPr>
              <w:t>战略实施受阻，战略规划中的大部分指标不能按计划完成</w:t>
            </w:r>
          </w:p>
        </w:tc>
        <w:tc>
          <w:tcPr>
            <w:tcW w:w="1984" w:type="dxa"/>
          </w:tcPr>
          <w:p w14:paraId="6715F54B" w14:textId="77777777" w:rsidR="00081B83" w:rsidRDefault="00000000">
            <w:r>
              <w:rPr>
                <w:rFonts w:hint="eastAsia"/>
              </w:rPr>
              <w:t>战略实施受阻，战</w:t>
            </w:r>
          </w:p>
          <w:p w14:paraId="507031B6" w14:textId="77777777" w:rsidR="00081B83" w:rsidRDefault="00000000">
            <w:r>
              <w:rPr>
                <w:rFonts w:hint="eastAsia"/>
              </w:rPr>
              <w:t>略规划中的部分指标不能按计划完成</w:t>
            </w:r>
          </w:p>
        </w:tc>
      </w:tr>
      <w:tr w:rsidR="00081B83" w14:paraId="54F88F84" w14:textId="77777777">
        <w:tc>
          <w:tcPr>
            <w:tcW w:w="709" w:type="dxa"/>
            <w:vMerge w:val="restart"/>
            <w:vAlign w:val="center"/>
          </w:tcPr>
          <w:p w14:paraId="781B2AC0" w14:textId="77777777" w:rsidR="00081B83" w:rsidRDefault="00000000">
            <w:pPr>
              <w:jc w:val="center"/>
            </w:pPr>
            <w:r>
              <w:rPr>
                <w:rFonts w:hint="eastAsia"/>
              </w:rPr>
              <w:t>运营</w:t>
            </w:r>
          </w:p>
          <w:p w14:paraId="45440973" w14:textId="77777777" w:rsidR="00081B83" w:rsidRDefault="00000000">
            <w:pPr>
              <w:jc w:val="center"/>
            </w:pPr>
            <w:r>
              <w:rPr>
                <w:rFonts w:hint="eastAsia"/>
              </w:rPr>
              <w:t>效率</w:t>
            </w:r>
          </w:p>
          <w:p w14:paraId="5E2B6ACD" w14:textId="77777777" w:rsidR="00081B83" w:rsidRDefault="00000000">
            <w:pPr>
              <w:jc w:val="center"/>
            </w:pPr>
            <w:r>
              <w:rPr>
                <w:rFonts w:hint="eastAsia"/>
              </w:rPr>
              <w:t>和效</w:t>
            </w:r>
          </w:p>
          <w:p w14:paraId="42AD1523" w14:textId="77777777" w:rsidR="00081B83" w:rsidRDefault="00000000">
            <w:pPr>
              <w:jc w:val="center"/>
            </w:pPr>
            <w:r>
              <w:rPr>
                <w:rFonts w:hint="eastAsia"/>
              </w:rPr>
              <w:t>果</w:t>
            </w:r>
          </w:p>
        </w:tc>
        <w:tc>
          <w:tcPr>
            <w:tcW w:w="709" w:type="dxa"/>
            <w:vAlign w:val="center"/>
          </w:tcPr>
          <w:p w14:paraId="0510B151" w14:textId="77777777" w:rsidR="00081B83" w:rsidRDefault="00000000">
            <w:pPr>
              <w:jc w:val="center"/>
            </w:pPr>
            <w:r>
              <w:rPr>
                <w:rFonts w:hint="eastAsia"/>
              </w:rPr>
              <w:t>业务</w:t>
            </w:r>
          </w:p>
          <w:p w14:paraId="6C6F1C7B" w14:textId="77777777" w:rsidR="00081B83" w:rsidRDefault="00000000">
            <w:pPr>
              <w:jc w:val="center"/>
            </w:pPr>
            <w:r>
              <w:rPr>
                <w:rFonts w:hint="eastAsia"/>
              </w:rPr>
              <w:t>持续</w:t>
            </w:r>
          </w:p>
        </w:tc>
        <w:tc>
          <w:tcPr>
            <w:tcW w:w="2551" w:type="dxa"/>
          </w:tcPr>
          <w:p w14:paraId="7DA49364" w14:textId="77777777" w:rsidR="00081B83" w:rsidRDefault="00000000">
            <w:r>
              <w:rPr>
                <w:rFonts w:hint="eastAsia"/>
              </w:rPr>
              <w:t>造成普遍的业务</w:t>
            </w:r>
            <w:r>
              <w:rPr>
                <w:rFonts w:hint="eastAsia"/>
              </w:rPr>
              <w:t>/</w:t>
            </w:r>
            <w:r>
              <w:rPr>
                <w:rFonts w:hint="eastAsia"/>
              </w:rPr>
              <w:t>服务中断，或者业务</w:t>
            </w:r>
            <w:r>
              <w:rPr>
                <w:rFonts w:hint="eastAsia"/>
              </w:rPr>
              <w:t>/</w:t>
            </w:r>
            <w:r>
              <w:rPr>
                <w:rFonts w:hint="eastAsia"/>
              </w:rPr>
              <w:t>服务中断需要一年以上才能恢复</w:t>
            </w:r>
          </w:p>
        </w:tc>
        <w:tc>
          <w:tcPr>
            <w:tcW w:w="2694" w:type="dxa"/>
          </w:tcPr>
          <w:p w14:paraId="2DB75525" w14:textId="77777777" w:rsidR="00081B83" w:rsidRDefault="00000000">
            <w:r>
              <w:rPr>
                <w:rFonts w:hint="eastAsia"/>
              </w:rPr>
              <w:t>造成重要的业务</w:t>
            </w:r>
            <w:r>
              <w:rPr>
                <w:rFonts w:hint="eastAsia"/>
              </w:rPr>
              <w:t>/</w:t>
            </w:r>
            <w:r>
              <w:rPr>
                <w:rFonts w:hint="eastAsia"/>
              </w:rPr>
              <w:t>服务中断，或者业务</w:t>
            </w:r>
            <w:r>
              <w:rPr>
                <w:rFonts w:hint="eastAsia"/>
              </w:rPr>
              <w:t>/</w:t>
            </w:r>
            <w:r>
              <w:rPr>
                <w:rFonts w:hint="eastAsia"/>
              </w:rPr>
              <w:t>服务中断需要</w:t>
            </w:r>
            <w:r>
              <w:rPr>
                <w:rFonts w:hint="eastAsia"/>
              </w:rPr>
              <w:t>6</w:t>
            </w:r>
            <w:r>
              <w:rPr>
                <w:rFonts w:hint="eastAsia"/>
              </w:rPr>
              <w:t>个月以上一年以下的时间才能恢复</w:t>
            </w:r>
          </w:p>
        </w:tc>
        <w:tc>
          <w:tcPr>
            <w:tcW w:w="1984" w:type="dxa"/>
          </w:tcPr>
          <w:p w14:paraId="6D4A42FB" w14:textId="77777777" w:rsidR="00081B83" w:rsidRDefault="00000000">
            <w:r>
              <w:rPr>
                <w:rFonts w:hint="eastAsia"/>
              </w:rPr>
              <w:t>日常业务受一些影响，造成个别的业务</w:t>
            </w:r>
            <w:r>
              <w:rPr>
                <w:rFonts w:hint="eastAsia"/>
              </w:rPr>
              <w:t>/</w:t>
            </w:r>
            <w:r>
              <w:rPr>
                <w:rFonts w:hint="eastAsia"/>
              </w:rPr>
              <w:t>服务中断，或者业务</w:t>
            </w:r>
            <w:r>
              <w:rPr>
                <w:rFonts w:hint="eastAsia"/>
              </w:rPr>
              <w:t>/</w:t>
            </w:r>
            <w:r>
              <w:rPr>
                <w:rFonts w:hint="eastAsia"/>
              </w:rPr>
              <w:t>服务中断需要</w:t>
            </w:r>
            <w:r>
              <w:rPr>
                <w:rFonts w:hint="eastAsia"/>
              </w:rPr>
              <w:t>6</w:t>
            </w:r>
            <w:r>
              <w:rPr>
                <w:rFonts w:hint="eastAsia"/>
              </w:rPr>
              <w:t>个月以下的时间才能恢复</w:t>
            </w:r>
          </w:p>
        </w:tc>
      </w:tr>
      <w:tr w:rsidR="00081B83" w14:paraId="12D2F683" w14:textId="77777777">
        <w:tc>
          <w:tcPr>
            <w:tcW w:w="709" w:type="dxa"/>
            <w:vMerge/>
            <w:vAlign w:val="center"/>
          </w:tcPr>
          <w:p w14:paraId="5EA6B05D" w14:textId="77777777" w:rsidR="00081B83" w:rsidRDefault="00081B83">
            <w:pPr>
              <w:jc w:val="center"/>
            </w:pPr>
          </w:p>
        </w:tc>
        <w:tc>
          <w:tcPr>
            <w:tcW w:w="709" w:type="dxa"/>
            <w:vAlign w:val="center"/>
          </w:tcPr>
          <w:p w14:paraId="3BC8D1D4" w14:textId="77777777" w:rsidR="00081B83" w:rsidRDefault="00000000">
            <w:pPr>
              <w:jc w:val="center"/>
            </w:pPr>
            <w:r>
              <w:t>员工积极性</w:t>
            </w:r>
          </w:p>
        </w:tc>
        <w:tc>
          <w:tcPr>
            <w:tcW w:w="2551" w:type="dxa"/>
          </w:tcPr>
          <w:p w14:paraId="22267707" w14:textId="77777777" w:rsidR="00081B83" w:rsidRDefault="00000000">
            <w:r>
              <w:rPr>
                <w:rFonts w:hint="eastAsia"/>
              </w:rPr>
              <w:t>严重损害整体员工的工作积极性，将引发大规模群体事件，或导致企业文化、企业凝聚力遭受严重破坏</w:t>
            </w:r>
          </w:p>
        </w:tc>
        <w:tc>
          <w:tcPr>
            <w:tcW w:w="2694" w:type="dxa"/>
          </w:tcPr>
          <w:p w14:paraId="38B1062F" w14:textId="77777777" w:rsidR="00081B83" w:rsidRDefault="00000000">
            <w:r>
              <w:rPr>
                <w:rFonts w:hint="eastAsia"/>
              </w:rPr>
              <w:t>较大程度损害整体员工的工作积极性，消极、懒散而大大降低工作效率，对企业文化、企业凝聚力产生重要不利影响</w:t>
            </w:r>
          </w:p>
        </w:tc>
        <w:tc>
          <w:tcPr>
            <w:tcW w:w="1984" w:type="dxa"/>
          </w:tcPr>
          <w:p w14:paraId="7A470D37" w14:textId="77777777" w:rsidR="00081B83" w:rsidRDefault="00000000">
            <w:r>
              <w:rPr>
                <w:rFonts w:hint="eastAsia"/>
              </w:rPr>
              <w:t>损害员工的工作积极性并影响其工作效率，对企业文化、企业凝聚力产生某些不利影响</w:t>
            </w:r>
          </w:p>
        </w:tc>
      </w:tr>
      <w:tr w:rsidR="00081B83" w14:paraId="70A26142" w14:textId="77777777">
        <w:tc>
          <w:tcPr>
            <w:tcW w:w="709" w:type="dxa"/>
            <w:vMerge/>
            <w:vAlign w:val="center"/>
          </w:tcPr>
          <w:p w14:paraId="4247B90F" w14:textId="77777777" w:rsidR="00081B83" w:rsidRDefault="00081B83">
            <w:pPr>
              <w:jc w:val="center"/>
            </w:pPr>
          </w:p>
        </w:tc>
        <w:tc>
          <w:tcPr>
            <w:tcW w:w="709" w:type="dxa"/>
            <w:vAlign w:val="center"/>
          </w:tcPr>
          <w:p w14:paraId="54935A80" w14:textId="77777777" w:rsidR="00081B83" w:rsidRDefault="00000000">
            <w:pPr>
              <w:jc w:val="center"/>
            </w:pPr>
            <w:r>
              <w:rPr>
                <w:rFonts w:hint="eastAsia"/>
              </w:rPr>
              <w:t>员工</w:t>
            </w:r>
          </w:p>
          <w:p w14:paraId="3403C97A" w14:textId="77777777" w:rsidR="00081B83" w:rsidRDefault="00000000">
            <w:pPr>
              <w:jc w:val="center"/>
            </w:pPr>
            <w:r>
              <w:rPr>
                <w:rFonts w:hint="eastAsia"/>
              </w:rPr>
              <w:t>成长</w:t>
            </w:r>
          </w:p>
        </w:tc>
        <w:tc>
          <w:tcPr>
            <w:tcW w:w="2551" w:type="dxa"/>
          </w:tcPr>
          <w:p w14:paraId="10551328" w14:textId="58FF73DA" w:rsidR="00081B83" w:rsidRDefault="00000000">
            <w:r>
              <w:rPr>
                <w:rFonts w:hint="eastAsia"/>
              </w:rPr>
              <w:t>员工管理能力和专业技能普遍大幅度落后于企业发展需求</w:t>
            </w:r>
          </w:p>
        </w:tc>
        <w:tc>
          <w:tcPr>
            <w:tcW w:w="2694" w:type="dxa"/>
          </w:tcPr>
          <w:p w14:paraId="2ACCA419" w14:textId="77777777" w:rsidR="00081B83" w:rsidRDefault="00000000">
            <w:r>
              <w:rPr>
                <w:rFonts w:hint="eastAsia"/>
              </w:rPr>
              <w:t>员工管理能力和专业技能在某些重要领域大幅度落后于企业发展需求</w:t>
            </w:r>
          </w:p>
        </w:tc>
        <w:tc>
          <w:tcPr>
            <w:tcW w:w="1984" w:type="dxa"/>
          </w:tcPr>
          <w:p w14:paraId="07C02043" w14:textId="77777777" w:rsidR="00081B83" w:rsidRDefault="00000000">
            <w:r>
              <w:rPr>
                <w:rFonts w:hint="eastAsia"/>
              </w:rPr>
              <w:t>员工管理能力和专业技能在某些领域落后于企业发展需求</w:t>
            </w:r>
          </w:p>
        </w:tc>
      </w:tr>
      <w:tr w:rsidR="00081B83" w14:paraId="7F3788C2" w14:textId="77777777">
        <w:tc>
          <w:tcPr>
            <w:tcW w:w="709" w:type="dxa"/>
            <w:vMerge/>
            <w:vAlign w:val="center"/>
          </w:tcPr>
          <w:p w14:paraId="207A26A7" w14:textId="77777777" w:rsidR="00081B83" w:rsidRDefault="00081B83">
            <w:pPr>
              <w:jc w:val="center"/>
            </w:pPr>
          </w:p>
        </w:tc>
        <w:tc>
          <w:tcPr>
            <w:tcW w:w="709" w:type="dxa"/>
            <w:vAlign w:val="center"/>
          </w:tcPr>
          <w:p w14:paraId="092989F2" w14:textId="77777777" w:rsidR="00081B83" w:rsidRDefault="00000000">
            <w:pPr>
              <w:jc w:val="center"/>
            </w:pPr>
            <w:r>
              <w:rPr>
                <w:rFonts w:hint="eastAsia"/>
              </w:rPr>
              <w:t>声誉</w:t>
            </w:r>
          </w:p>
        </w:tc>
        <w:tc>
          <w:tcPr>
            <w:tcW w:w="2551" w:type="dxa"/>
          </w:tcPr>
          <w:p w14:paraId="199DC203" w14:textId="77777777" w:rsidR="00081B83" w:rsidRDefault="00000000">
            <w:r>
              <w:rPr>
                <w:rFonts w:hint="eastAsia"/>
              </w:rPr>
              <w:t>媒体频现负面新闻，涉及面广且负面影响一直未能消除</w:t>
            </w:r>
          </w:p>
        </w:tc>
        <w:tc>
          <w:tcPr>
            <w:tcW w:w="2694" w:type="dxa"/>
          </w:tcPr>
          <w:p w14:paraId="5428B04D" w14:textId="77777777" w:rsidR="00081B83" w:rsidRDefault="00000000">
            <w:r>
              <w:rPr>
                <w:rFonts w:hint="eastAsia"/>
              </w:rPr>
              <w:t>负面消息或报道频现，引起监管部门高度关注，并在较长时间内无法消除</w:t>
            </w:r>
          </w:p>
        </w:tc>
        <w:tc>
          <w:tcPr>
            <w:tcW w:w="1984" w:type="dxa"/>
          </w:tcPr>
          <w:p w14:paraId="38005131" w14:textId="77777777" w:rsidR="00081B83" w:rsidRDefault="00000000">
            <w:r>
              <w:rPr>
                <w:rFonts w:hint="eastAsia"/>
              </w:rPr>
              <w:t>媒体出现负面新闻，但影响不大</w:t>
            </w:r>
          </w:p>
        </w:tc>
      </w:tr>
      <w:tr w:rsidR="00081B83" w14:paraId="588F2126" w14:textId="77777777">
        <w:tc>
          <w:tcPr>
            <w:tcW w:w="709" w:type="dxa"/>
            <w:vAlign w:val="center"/>
          </w:tcPr>
          <w:p w14:paraId="10867104" w14:textId="77777777" w:rsidR="00081B83" w:rsidRDefault="00000000">
            <w:pPr>
              <w:jc w:val="center"/>
            </w:pPr>
            <w:r>
              <w:rPr>
                <w:rFonts w:hint="eastAsia"/>
              </w:rPr>
              <w:t>资产</w:t>
            </w:r>
          </w:p>
          <w:p w14:paraId="10AA67B8" w14:textId="77777777" w:rsidR="00081B83" w:rsidRDefault="00000000">
            <w:pPr>
              <w:jc w:val="center"/>
            </w:pPr>
            <w:r>
              <w:rPr>
                <w:rFonts w:hint="eastAsia"/>
              </w:rPr>
              <w:lastRenderedPageBreak/>
              <w:t>安全</w:t>
            </w:r>
          </w:p>
        </w:tc>
        <w:tc>
          <w:tcPr>
            <w:tcW w:w="709" w:type="dxa"/>
            <w:vAlign w:val="center"/>
          </w:tcPr>
          <w:p w14:paraId="7459B955" w14:textId="77777777" w:rsidR="00081B83" w:rsidRDefault="00000000">
            <w:pPr>
              <w:jc w:val="center"/>
            </w:pPr>
            <w:r>
              <w:rPr>
                <w:rFonts w:hint="eastAsia"/>
              </w:rPr>
              <w:lastRenderedPageBreak/>
              <w:t>信息</w:t>
            </w:r>
          </w:p>
          <w:p w14:paraId="3127FAA0" w14:textId="77777777" w:rsidR="00081B83" w:rsidRDefault="00000000">
            <w:pPr>
              <w:jc w:val="center"/>
            </w:pPr>
            <w:r>
              <w:rPr>
                <w:rFonts w:hint="eastAsia"/>
              </w:rPr>
              <w:lastRenderedPageBreak/>
              <w:t>保密</w:t>
            </w:r>
          </w:p>
        </w:tc>
        <w:tc>
          <w:tcPr>
            <w:tcW w:w="2551" w:type="dxa"/>
          </w:tcPr>
          <w:p w14:paraId="65C692A1" w14:textId="77777777" w:rsidR="00081B83" w:rsidRDefault="00000000">
            <w:r>
              <w:rPr>
                <w:rFonts w:hint="eastAsia"/>
              </w:rPr>
              <w:lastRenderedPageBreak/>
              <w:t>企业内部绝密信息泄露，</w:t>
            </w:r>
            <w:r>
              <w:rPr>
                <w:rFonts w:hint="eastAsia"/>
              </w:rPr>
              <w:lastRenderedPageBreak/>
              <w:t>严重影响企业在市场上的竞争能力，或者影响企</w:t>
            </w:r>
          </w:p>
          <w:p w14:paraId="0DF427C6" w14:textId="77777777" w:rsidR="00081B83" w:rsidRDefault="00000000">
            <w:r>
              <w:rPr>
                <w:rFonts w:hint="eastAsia"/>
              </w:rPr>
              <w:t>业在管理方面的竞争能力</w:t>
            </w:r>
          </w:p>
        </w:tc>
        <w:tc>
          <w:tcPr>
            <w:tcW w:w="2694" w:type="dxa"/>
          </w:tcPr>
          <w:p w14:paraId="6AA67F04" w14:textId="77777777" w:rsidR="00081B83" w:rsidRDefault="00000000">
            <w:r>
              <w:rPr>
                <w:rFonts w:hint="eastAsia"/>
              </w:rPr>
              <w:lastRenderedPageBreak/>
              <w:t>企业内部机密信息泄露，较</w:t>
            </w:r>
            <w:r>
              <w:rPr>
                <w:rFonts w:hint="eastAsia"/>
              </w:rPr>
              <w:lastRenderedPageBreak/>
              <w:t>大程度影响企业在市场上的竞争能力，或者影响企业在管理方面的竞争能力</w:t>
            </w:r>
          </w:p>
        </w:tc>
        <w:tc>
          <w:tcPr>
            <w:tcW w:w="1984" w:type="dxa"/>
          </w:tcPr>
          <w:p w14:paraId="10639D1D" w14:textId="5B0C4D28" w:rsidR="00081B83" w:rsidRDefault="00000000">
            <w:r>
              <w:rPr>
                <w:rFonts w:hint="eastAsia"/>
              </w:rPr>
              <w:lastRenderedPageBreak/>
              <w:t>企业内部机密信息</w:t>
            </w:r>
            <w:r>
              <w:rPr>
                <w:rFonts w:hint="eastAsia"/>
              </w:rPr>
              <w:lastRenderedPageBreak/>
              <w:t>泄露，一定程度影响企业在市场上的竞争能力，或者影响企业在管理方面的竞争能力</w:t>
            </w:r>
          </w:p>
        </w:tc>
      </w:tr>
    </w:tbl>
    <w:p w14:paraId="05F790D1" w14:textId="77777777" w:rsidR="00081B83" w:rsidRDefault="00000000">
      <w:pPr>
        <w:spacing w:line="360" w:lineRule="auto"/>
        <w:ind w:leftChars="335" w:left="944" w:rightChars="242" w:right="508" w:hangingChars="100" w:hanging="241"/>
        <w:outlineLvl w:val="1"/>
        <w:rPr>
          <w:b/>
          <w:sz w:val="24"/>
          <w:szCs w:val="24"/>
        </w:rPr>
      </w:pPr>
      <w:r>
        <w:rPr>
          <w:b/>
          <w:sz w:val="24"/>
          <w:szCs w:val="24"/>
        </w:rPr>
        <w:lastRenderedPageBreak/>
        <w:t>（三）内部控制缺陷认定及整改情况</w:t>
      </w:r>
    </w:p>
    <w:p w14:paraId="057B4585" w14:textId="77777777" w:rsidR="00081B83" w:rsidRDefault="00000000">
      <w:pPr>
        <w:spacing w:line="360" w:lineRule="auto"/>
        <w:ind w:leftChars="335" w:left="914" w:rightChars="242" w:right="508" w:hangingChars="100" w:hanging="211"/>
        <w:outlineLvl w:val="2"/>
        <w:rPr>
          <w:b/>
          <w:szCs w:val="21"/>
        </w:rPr>
      </w:pPr>
      <w:r>
        <w:rPr>
          <w:b/>
          <w:szCs w:val="21"/>
        </w:rPr>
        <w:t>1</w:t>
      </w:r>
      <w:r>
        <w:rPr>
          <w:b/>
          <w:szCs w:val="21"/>
        </w:rPr>
        <w:t>、财务报告内部控制缺陷认定及整改情况</w:t>
      </w:r>
    </w:p>
    <w:p w14:paraId="6526BD81" w14:textId="77777777" w:rsidR="00081B83" w:rsidRDefault="00000000">
      <w:pPr>
        <w:spacing w:line="360" w:lineRule="auto"/>
        <w:ind w:leftChars="135" w:left="283" w:rightChars="242" w:right="508" w:firstLineChars="200" w:firstLine="420"/>
      </w:pPr>
      <w:r>
        <w:t>根据上述财务报告内部控制缺陷的认定标准，报告期内公司不存在财务报告内部控制重大缺陷和重要缺陷。</w:t>
      </w:r>
    </w:p>
    <w:p w14:paraId="1A40F4ED" w14:textId="77777777" w:rsidR="00081B83" w:rsidRDefault="00000000">
      <w:pPr>
        <w:spacing w:line="360" w:lineRule="auto"/>
        <w:ind w:leftChars="335" w:left="914" w:rightChars="242" w:right="508" w:hangingChars="100" w:hanging="211"/>
        <w:outlineLvl w:val="2"/>
        <w:rPr>
          <w:b/>
        </w:rPr>
      </w:pPr>
      <w:r>
        <w:rPr>
          <w:b/>
        </w:rPr>
        <w:t>2</w:t>
      </w:r>
      <w:r>
        <w:rPr>
          <w:b/>
        </w:rPr>
        <w:t>、非财务报告内部控制缺陷认定及整改情况</w:t>
      </w:r>
    </w:p>
    <w:p w14:paraId="4900F3A0" w14:textId="77777777" w:rsidR="00081B83" w:rsidRDefault="00000000">
      <w:pPr>
        <w:spacing w:line="360" w:lineRule="auto"/>
        <w:ind w:leftChars="135" w:left="283" w:rightChars="242" w:right="508" w:firstLineChars="200" w:firstLine="420"/>
      </w:pPr>
      <w:r>
        <w:t>根据上述非财务报告内部控制缺陷的认定标准，报告期内未发现公司非财务报告内部控制重大缺陷和重要缺陷。</w:t>
      </w:r>
    </w:p>
    <w:p w14:paraId="448F1E90" w14:textId="77777777" w:rsidR="00081B83" w:rsidRDefault="00000000">
      <w:pPr>
        <w:spacing w:line="360" w:lineRule="auto"/>
        <w:ind w:leftChars="135" w:left="283" w:rightChars="242" w:right="508" w:firstLineChars="200" w:firstLine="482"/>
        <w:outlineLvl w:val="0"/>
        <w:rPr>
          <w:b/>
          <w:sz w:val="24"/>
          <w:szCs w:val="24"/>
        </w:rPr>
      </w:pPr>
      <w:r>
        <w:rPr>
          <w:b/>
          <w:sz w:val="24"/>
          <w:szCs w:val="24"/>
        </w:rPr>
        <w:t>四、其他内部控制相关重大事项说明</w:t>
      </w:r>
    </w:p>
    <w:p w14:paraId="41944132" w14:textId="77777777" w:rsidR="00081B83" w:rsidRDefault="00000000">
      <w:pPr>
        <w:spacing w:line="360" w:lineRule="auto"/>
        <w:ind w:leftChars="135" w:left="283" w:rightChars="242" w:right="508" w:firstLineChars="200" w:firstLine="420"/>
      </w:pPr>
      <w:r>
        <w:t>报告期内公司无其他需要说明的与内部控制相关的重大事项。</w:t>
      </w:r>
    </w:p>
    <w:p w14:paraId="6F95EE8F" w14:textId="77777777" w:rsidR="00081B83" w:rsidRDefault="00000000">
      <w:pPr>
        <w:spacing w:line="360" w:lineRule="auto"/>
        <w:ind w:leftChars="135" w:left="283" w:rightChars="242" w:right="508" w:firstLineChars="200" w:firstLine="420"/>
      </w:pPr>
      <w:r>
        <w:t>随着外部环境的变化、公司业务的发展和内外部管理要求的提高，未来公司将继续完善内部控制制度，加大内部控制制度的执行力度，强化内部控制的监督检查，促进公司健康、可持续发展。</w:t>
      </w:r>
    </w:p>
    <w:p w14:paraId="65EDC428" w14:textId="77777777" w:rsidR="00081B83" w:rsidRDefault="00081B83">
      <w:pPr>
        <w:spacing w:line="360" w:lineRule="auto"/>
        <w:ind w:leftChars="135" w:left="283" w:rightChars="242" w:right="508" w:firstLineChars="200" w:firstLine="420"/>
      </w:pPr>
    </w:p>
    <w:p w14:paraId="6D8B150F" w14:textId="77777777" w:rsidR="00081B83" w:rsidRDefault="00000000">
      <w:pPr>
        <w:spacing w:line="360" w:lineRule="auto"/>
        <w:ind w:leftChars="135" w:left="283" w:rightChars="242" w:right="508" w:firstLineChars="200" w:firstLine="420"/>
        <w:jc w:val="right"/>
      </w:pPr>
      <w:r>
        <w:rPr>
          <w:rFonts w:hint="eastAsia"/>
        </w:rPr>
        <w:t>东江环保股份有限公司董事会</w:t>
      </w:r>
    </w:p>
    <w:p w14:paraId="0BB3DB2F" w14:textId="77777777" w:rsidR="00081B83" w:rsidRDefault="00000000">
      <w:pPr>
        <w:spacing w:line="360" w:lineRule="auto"/>
        <w:ind w:leftChars="135" w:left="283" w:rightChars="242" w:right="508" w:firstLineChars="200" w:firstLine="420"/>
        <w:jc w:val="right"/>
      </w:pPr>
      <w:r w:rsidRPr="00F57CDA">
        <w:rPr>
          <w:rFonts w:ascii="宋体" w:eastAsia="宋体" w:hAnsi="宋体" w:cs="宋体" w:hint="eastAsia"/>
        </w:rPr>
        <w:t>2026年3月27日</w:t>
      </w:r>
    </w:p>
    <w:sectPr w:rsidR="00081B83">
      <w:headerReference w:type="default" r:id="rId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461AB" w14:textId="77777777" w:rsidR="00F908D1" w:rsidRDefault="00F908D1">
      <w:r>
        <w:separator/>
      </w:r>
    </w:p>
  </w:endnote>
  <w:endnote w:type="continuationSeparator" w:id="0">
    <w:p w14:paraId="63C78DC2" w14:textId="77777777" w:rsidR="00F908D1" w:rsidRDefault="00F90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13738" w14:textId="77777777" w:rsidR="00081B83" w:rsidRDefault="00000000">
    <w:pPr>
      <w:pStyle w:val="a7"/>
    </w:pPr>
    <w:r>
      <w:rPr>
        <w:noProof/>
      </w:rPr>
      <mc:AlternateContent>
        <mc:Choice Requires="wps">
          <w:drawing>
            <wp:anchor distT="0" distB="0" distL="114300" distR="114300" simplePos="0" relativeHeight="251659264" behindDoc="0" locked="0" layoutInCell="1" allowOverlap="1" wp14:anchorId="03AF3428" wp14:editId="73709BD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17D250" w14:textId="77777777" w:rsidR="00081B83" w:rsidRDefault="00000000">
                          <w:pPr>
                            <w:pStyle w:val="a7"/>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14E61EB">
                    <w:pPr>
                      <w:pStyle w:val="4"/>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EF8E" w14:textId="77777777" w:rsidR="00F908D1" w:rsidRDefault="00F908D1">
      <w:r>
        <w:separator/>
      </w:r>
    </w:p>
  </w:footnote>
  <w:footnote w:type="continuationSeparator" w:id="0">
    <w:p w14:paraId="747DA0EC" w14:textId="77777777" w:rsidR="00F908D1" w:rsidRDefault="00F90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4B415" w14:textId="77777777" w:rsidR="00081B83" w:rsidRDefault="00081B83">
    <w:pPr>
      <w:pStyle w:val="a9"/>
      <w:tabs>
        <w:tab w:val="clear" w:pos="8306"/>
        <w:tab w:val="right" w:pos="7797"/>
      </w:tabs>
      <w:ind w:leftChars="134" w:left="423" w:rightChars="242" w:right="508" w:hangingChars="79" w:hanging="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07C58"/>
    <w:multiLevelType w:val="multilevel"/>
    <w:tmpl w:val="3CB07C58"/>
    <w:lvl w:ilvl="0">
      <w:start w:val="1"/>
      <w:numFmt w:val="japaneseCounting"/>
      <w:lvlText w:val="%1、"/>
      <w:lvlJc w:val="left"/>
      <w:pPr>
        <w:ind w:left="982" w:hanging="500"/>
      </w:pPr>
      <w:rPr>
        <w:rFonts w:hint="default"/>
        <w:b/>
        <w:sz w:val="24"/>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16cid:durableId="2054111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I3ZjA4MmQzYWEzNzBhZGU5NzM1ZDQ5NGRlYWU3YjcifQ=="/>
  </w:docVars>
  <w:rsids>
    <w:rsidRoot w:val="00BC6C64"/>
    <w:rsid w:val="00047120"/>
    <w:rsid w:val="00064C9A"/>
    <w:rsid w:val="00081B83"/>
    <w:rsid w:val="000A5E40"/>
    <w:rsid w:val="000B0730"/>
    <w:rsid w:val="000D24D8"/>
    <w:rsid w:val="000E006A"/>
    <w:rsid w:val="000F09D0"/>
    <w:rsid w:val="000F6081"/>
    <w:rsid w:val="00127DC0"/>
    <w:rsid w:val="00130016"/>
    <w:rsid w:val="00145811"/>
    <w:rsid w:val="00174AD9"/>
    <w:rsid w:val="001C5AF8"/>
    <w:rsid w:val="001D12E1"/>
    <w:rsid w:val="00213A09"/>
    <w:rsid w:val="00223185"/>
    <w:rsid w:val="00234546"/>
    <w:rsid w:val="002D7260"/>
    <w:rsid w:val="002F1001"/>
    <w:rsid w:val="00326443"/>
    <w:rsid w:val="00344D1A"/>
    <w:rsid w:val="00347741"/>
    <w:rsid w:val="00376289"/>
    <w:rsid w:val="00383F8D"/>
    <w:rsid w:val="00392406"/>
    <w:rsid w:val="003B0F7A"/>
    <w:rsid w:val="003E1AD6"/>
    <w:rsid w:val="00427A09"/>
    <w:rsid w:val="00433CCD"/>
    <w:rsid w:val="00463A13"/>
    <w:rsid w:val="00550D97"/>
    <w:rsid w:val="005975D9"/>
    <w:rsid w:val="005B2317"/>
    <w:rsid w:val="005C138E"/>
    <w:rsid w:val="0066530B"/>
    <w:rsid w:val="00681B05"/>
    <w:rsid w:val="006C16AE"/>
    <w:rsid w:val="00717395"/>
    <w:rsid w:val="007314B4"/>
    <w:rsid w:val="00806E5D"/>
    <w:rsid w:val="00835DDE"/>
    <w:rsid w:val="0084580B"/>
    <w:rsid w:val="00852E67"/>
    <w:rsid w:val="00880231"/>
    <w:rsid w:val="008F5027"/>
    <w:rsid w:val="009000AF"/>
    <w:rsid w:val="00971D82"/>
    <w:rsid w:val="009B3235"/>
    <w:rsid w:val="009D5246"/>
    <w:rsid w:val="009D5565"/>
    <w:rsid w:val="009D5A35"/>
    <w:rsid w:val="009F7602"/>
    <w:rsid w:val="00AB4481"/>
    <w:rsid w:val="00B118E0"/>
    <w:rsid w:val="00B311C9"/>
    <w:rsid w:val="00B921F6"/>
    <w:rsid w:val="00BC0E69"/>
    <w:rsid w:val="00BC6C64"/>
    <w:rsid w:val="00CA1E91"/>
    <w:rsid w:val="00CB498E"/>
    <w:rsid w:val="00D36D6F"/>
    <w:rsid w:val="00D916F1"/>
    <w:rsid w:val="00E2583D"/>
    <w:rsid w:val="00E62ACC"/>
    <w:rsid w:val="00E929A2"/>
    <w:rsid w:val="00EC1263"/>
    <w:rsid w:val="00EE07CA"/>
    <w:rsid w:val="00F05477"/>
    <w:rsid w:val="00F57CDA"/>
    <w:rsid w:val="00F6556D"/>
    <w:rsid w:val="00F83F78"/>
    <w:rsid w:val="00F908D1"/>
    <w:rsid w:val="02162185"/>
    <w:rsid w:val="02973868"/>
    <w:rsid w:val="03CA7149"/>
    <w:rsid w:val="04C24305"/>
    <w:rsid w:val="06582C75"/>
    <w:rsid w:val="07D91E6C"/>
    <w:rsid w:val="07E0507A"/>
    <w:rsid w:val="0BC11EE9"/>
    <w:rsid w:val="0C183B2E"/>
    <w:rsid w:val="0DC92108"/>
    <w:rsid w:val="108C51BC"/>
    <w:rsid w:val="143940BA"/>
    <w:rsid w:val="14A90AE0"/>
    <w:rsid w:val="14CB1D0E"/>
    <w:rsid w:val="19491E5F"/>
    <w:rsid w:val="194D225D"/>
    <w:rsid w:val="1A046E36"/>
    <w:rsid w:val="1AB56AD0"/>
    <w:rsid w:val="1AF70C4B"/>
    <w:rsid w:val="1B056A1E"/>
    <w:rsid w:val="1B4B2F4A"/>
    <w:rsid w:val="1F6E1F30"/>
    <w:rsid w:val="1FD747CC"/>
    <w:rsid w:val="207672EF"/>
    <w:rsid w:val="25AB7A3A"/>
    <w:rsid w:val="25DE1FA0"/>
    <w:rsid w:val="27085698"/>
    <w:rsid w:val="27C66D50"/>
    <w:rsid w:val="28501941"/>
    <w:rsid w:val="2880702F"/>
    <w:rsid w:val="29BE3608"/>
    <w:rsid w:val="2A4914C0"/>
    <w:rsid w:val="2A916654"/>
    <w:rsid w:val="2B547EC4"/>
    <w:rsid w:val="2B6B1148"/>
    <w:rsid w:val="2BD829FE"/>
    <w:rsid w:val="2D0D6962"/>
    <w:rsid w:val="2D455153"/>
    <w:rsid w:val="2D99395E"/>
    <w:rsid w:val="2DF3520E"/>
    <w:rsid w:val="2E834673"/>
    <w:rsid w:val="2F2C54B2"/>
    <w:rsid w:val="31381BD0"/>
    <w:rsid w:val="31B56DD7"/>
    <w:rsid w:val="32775CF9"/>
    <w:rsid w:val="36FC6348"/>
    <w:rsid w:val="37552C0C"/>
    <w:rsid w:val="38012E56"/>
    <w:rsid w:val="3D093FF7"/>
    <w:rsid w:val="3FAB57C7"/>
    <w:rsid w:val="41876612"/>
    <w:rsid w:val="43A81EC3"/>
    <w:rsid w:val="44F62E0C"/>
    <w:rsid w:val="4A8C305D"/>
    <w:rsid w:val="4AC81BBD"/>
    <w:rsid w:val="4B851705"/>
    <w:rsid w:val="4C2633B6"/>
    <w:rsid w:val="4C8A009B"/>
    <w:rsid w:val="4DC43B24"/>
    <w:rsid w:val="4E04670B"/>
    <w:rsid w:val="4E692943"/>
    <w:rsid w:val="4EB72F8F"/>
    <w:rsid w:val="4FB6136D"/>
    <w:rsid w:val="51A41581"/>
    <w:rsid w:val="53414EED"/>
    <w:rsid w:val="53856213"/>
    <w:rsid w:val="55684751"/>
    <w:rsid w:val="571C2577"/>
    <w:rsid w:val="58633061"/>
    <w:rsid w:val="59037948"/>
    <w:rsid w:val="5A083EFE"/>
    <w:rsid w:val="5B214990"/>
    <w:rsid w:val="5F4A27E1"/>
    <w:rsid w:val="5F7B6833"/>
    <w:rsid w:val="61E7692D"/>
    <w:rsid w:val="62CA25A7"/>
    <w:rsid w:val="64DB2183"/>
    <w:rsid w:val="672053D4"/>
    <w:rsid w:val="67494791"/>
    <w:rsid w:val="68FB795E"/>
    <w:rsid w:val="69A2465A"/>
    <w:rsid w:val="6A3C022E"/>
    <w:rsid w:val="6ACD79EC"/>
    <w:rsid w:val="6E0B0D16"/>
    <w:rsid w:val="6F811B7C"/>
    <w:rsid w:val="702A4F29"/>
    <w:rsid w:val="762A3631"/>
    <w:rsid w:val="76447600"/>
    <w:rsid w:val="76C471A7"/>
    <w:rsid w:val="775438ED"/>
    <w:rsid w:val="79915436"/>
    <w:rsid w:val="7AB46BDC"/>
    <w:rsid w:val="7EB06264"/>
    <w:rsid w:val="7F5D5BF9"/>
    <w:rsid w:val="7F6F6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DC9A6"/>
  <w15:docId w15:val="{BFD98398-E111-4ACC-8D86-3D2B108B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kern w:val="2"/>
      <w:sz w:val="18"/>
      <w:szCs w:val="18"/>
    </w:rPr>
  </w:style>
  <w:style w:type="character" w:customStyle="1" w:styleId="a4">
    <w:name w:val="批注文字 字符"/>
    <w:basedOn w:val="a0"/>
    <w:link w:val="a3"/>
    <w:uiPriority w:val="99"/>
    <w:semiHidden/>
    <w:qFormat/>
    <w:rPr>
      <w:kern w:val="2"/>
      <w:sz w:val="21"/>
      <w:szCs w:val="22"/>
    </w:rPr>
  </w:style>
  <w:style w:type="character" w:customStyle="1" w:styleId="ac">
    <w:name w:val="批注主题 字符"/>
    <w:basedOn w:val="a4"/>
    <w:link w:val="ab"/>
    <w:uiPriority w:val="99"/>
    <w:semiHidden/>
    <w:qFormat/>
    <w:rPr>
      <w:b/>
      <w:bCs/>
      <w:kern w:val="2"/>
      <w:sz w:val="21"/>
      <w:szCs w:val="22"/>
    </w:rPr>
  </w:style>
  <w:style w:type="paragraph" w:customStyle="1" w:styleId="1">
    <w:name w:val="修订1"/>
    <w:hidden/>
    <w:uiPriority w:val="99"/>
    <w:unhideWhenUsed/>
    <w:qFormat/>
    <w:rPr>
      <w:kern w:val="2"/>
      <w:sz w:val="21"/>
      <w:szCs w:val="22"/>
    </w:rPr>
  </w:style>
  <w:style w:type="paragraph" w:styleId="af0">
    <w:name w:val="Revision"/>
    <w:hidden/>
    <w:uiPriority w:val="99"/>
    <w:unhideWhenUsed/>
    <w:rsid w:val="00F57CDA"/>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0d0013b2-76c5-40a6-8e97-cf9955cfdab7</errorID>
      <errorWord>存在的</errorWord>
      <group>L1_Word</group>
      <groupName>字词问题</groupName>
      <ability>L2_Typo</ability>
      <abilityName>字词错误</abilityName>
      <candidateList>
        <item>存在</item>
      </candidateList>
      <explain/>
      <paraID>39B820C9</paraID>
      <start>67</start>
      <end>70</end>
      <status>ignored</status>
      <modifiedWord/>
      <trackRevisions>false</trackRevisions>
    </reviewItem>
    <reviewItem>
      <errorID>db7c7770-d187-4018-a9b5-cc92ceb88f67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7EC29E7D</paraID>
      <start>0</start>
      <end>2</end>
      <status>ignored</status>
      <modifiedWord/>
      <trackRevisions>false</trackRevisions>
    </reviewItem>
    <reviewItem>
      <errorID>2faccfad-e2c0-43dd-9207-fa7828531864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B470FDC</paraID>
      <start>0</start>
      <end>2</end>
      <status>ignored</status>
      <modifiedWord/>
      <trackRevisions>false</trackRevisions>
    </reviewItem>
    <reviewItem>
      <errorID>7eabf8eb-3d38-4523-bc38-b60f9a0858da</errorID>
      <errorWord>公司法</errorWord>
      <group>L1_Knowledge</group>
      <groupName>知识性问题</groupName>
      <ability>L2_Knowledge</ability>
      <abilityName>其他知识</abilityName>
      <candidateList>
        <item>中华人民共和国公司法</item>
      </candidateList>
      <explain>当前法律法规名称使用简称，请注意是否应当使用全称。</explain>
      <paraID>427791CC</paraID>
      <start>7</start>
      <end>10</end>
      <status>ignored</status>
      <modifiedWord/>
      <trackRevisions>false</trackRevisions>
    </reviewItem>
    <reviewItem>
      <errorID>5f325df2-b5a7-4a31-8b57-ad397ae8f590</errorID>
      <errorWord>法律、法规</errorWord>
      <group>L1_Word</group>
      <groupName>字词问题</groupName>
      <ability>L2_Typo</ability>
      <abilityName>字词错误</abilityName>
      <candidateList>
        <item>法律法规</item>
      </candidateList>
      <explain/>
      <paraID>427791CC</paraID>
      <start>12</start>
      <end>21</end>
      <status>modified</status>
      <modifiedWord>法律法规</modifiedWord>
      <trackRevisions>true</trackRevisions>
    </reviewItem>
    <reviewItem>
      <errorID>4ecfd79c-c8c4-448b-b41a-64f8a4c3c40c</errorID>
      <errorWord>公司法</errorWord>
      <group>L1_Knowledge</group>
      <groupName>知识性问题</groupName>
      <ability>L2_Knowledge</ability>
      <abilityName>其他知识</abilityName>
      <candidateList>
        <item>中华人民共和国公司法</item>
      </candidateList>
      <explain>当前法律法规名称使用简称，请注意是否应当使用全称。</explain>
      <paraID>427791CC</paraID>
      <start>96</start>
      <end>99</end>
      <status>ignored</status>
      <modifiedWord/>
      <trackRevisions>false</trackRevisions>
    </reviewItem>
    <reviewItem>
      <errorID>0323bf6c-0214-45ef-baa6-db382ecae9e3</errorID>
      <errorWord>融入到</errorWord>
      <group>L1_Word</group>
      <groupName>字词问题</groupName>
      <ability>L2_Typo</ability>
      <abilityName>字词错误</abilityName>
      <candidateList>
        <item>融入</item>
      </candidateList>
      <explain/>
      <paraID>423C9027</paraID>
      <start>14</start>
      <end>19</end>
      <status>modified</status>
      <modifiedWord>融入</modifiedWord>
      <trackRevisions>true</trackRevisions>
    </reviewItem>
    <reviewItem>
      <errorID>b90955d5-4623-4fec-a72d-04e67a5fe8ee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423C9027</paraID>
      <start>144</start>
      <end>147</end>
      <status>modified</status>
      <modifiedWord>”“</modifiedWord>
      <trackRevisions>true</trackRevisions>
    </reviewItem>
    <reviewItem>
      <errorID>746d1dad-a32d-4b45-889c-c2521aa6358f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423C9027</paraID>
      <start>154</start>
      <end>157</end>
      <status>modified</status>
      <modifiedWord>”“</modifiedWord>
      <trackRevisions>true</trackRevisions>
    </reviewItem>
    <reviewItem>
      <errorID>937bca26-24a4-4210-b2ca-b8d88f667d68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423C9027</paraID>
      <start>161</start>
      <end>164</end>
      <status>modified</status>
      <modifiedWord>”“</modifiedWord>
      <trackRevisions>true</trackRevisions>
    </reviewItem>
    <reviewItem>
      <errorID>8989d8e0-aa55-4bb1-9d71-4014bf00c1c8</errorID>
      <errorWord>-</errorWord>
      <group>L1_Format</group>
      <groupName>格式问题</groupName>
      <ability>L2_HalfPunc</ability>
      <abilityName>全半角检查</abilityName>
      <candidateList>
        <item>－</item>
      </candidateList>
      <explain>文本全半角错误。</explain>
      <paraID>5E15846D</paraID>
      <start>68</start>
      <end>69</end>
      <status>ignored</status>
      <modifiedWord/>
      <trackRevisions>false</trackRevisions>
    </reviewItem>
    <reviewItem>
      <errorID>f3c4849a-39dd-42de-96ac-f51a7be2a304</errorID>
      <errorWord>-</errorWord>
      <group>L1_Format</group>
      <groupName>格式问题</groupName>
      <ability>L2_HalfPunc</ability>
      <abilityName>全半角检查</abilityName>
      <candidateList>
        <item>－</item>
      </candidateList>
      <explain>文本全半角错误。</explain>
      <paraID>5E15846D</paraID>
      <start>72</start>
      <end>73</end>
      <status>ignored</status>
      <modifiedWord/>
      <trackRevisions>false</trackRevisions>
    </reviewItem>
    <reviewItem>
      <errorID>f7450e62-271f-42c0-8c7f-ebba52b0dfef</errorID>
      <errorWord>地</errorWord>
      <group>L1_Word</group>
      <groupName>字词问题</groupName>
      <ability>L2_DDD</ability>
      <abilityName>的地得用法</abilityName>
      <candidateList>
        <item>的</item>
      </candidateList>
      <explain>“的”常用于连接修饰语与名词性中心语，表示属性、所属或描述。</explain>
      <paraID>586AB02E</paraID>
      <start>52</start>
      <end>53</end>
      <status>modified</status>
      <modifiedWord>的</modifiedWord>
      <trackRevisions>true</trackRevisions>
    </reviewItem>
    <reviewItem>
      <errorID>be55d068-7acf-4221-aaef-4eb60d820af8</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63B3F52A</paraID>
      <start>407</start>
      <end>409</end>
      <status>modified</status>
      <modifiedWord>地</modifiedWord>
      <trackRevisions>true</trackRevisions>
    </reviewItem>
    <reviewItem>
      <errorID>9debb541-946a-4e04-aa37-ef629885a307</errorID>
      <errorWord>的</errorWord>
      <group>L1_Word</group>
      <groupName>字词问题</groupName>
      <ability>L2_Typo</ability>
      <abilityName>字词错误</abilityName>
      <candidateList>
        <item>的全</item>
      </candidateList>
      <explain/>
      <paraID>59B63E52</paraID>
      <start>67</start>
      <end>68</end>
      <status>ignored</status>
      <modifiedWord/>
      <trackRevisions>false</trackRevisions>
    </reviewItem>
    <reviewItem>
      <errorID>c35a0876-a954-4d73-b7c9-8631953f2129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6D128080</paraID>
      <start>0</start>
      <end>2</end>
      <status>ignored</status>
      <modifiedWord/>
      <trackRevisions>false</trackRevisions>
    </reviewItem>
    <reviewItem>
      <errorID>5ad32900-b095-47b6-b134-cd5188cf5a50</errorID>
      <errorWord>、</errorWord>
      <group>L1_Punc</group>
      <groupName>标点问题</groupName>
      <ability>L2_Punc</ability>
      <abilityName>标点符号检查</abilityName>
      <candidateList>
        <item>.</item>
      </candidateList>
      <explain/>
      <paraID>5E487009</paraID>
      <start>1</start>
      <end>2</end>
      <status>ignored</status>
      <modifiedWord/>
      <trackRevisions>false</trackRevisions>
    </reviewItem>
    <reviewItem>
      <errorID>081d5b4d-484c-4981-853e-76b0e6a87097</errorID>
      <errorWord>、</errorWord>
      <group>L1_Punc</group>
      <groupName>标点问题</groupName>
      <ability>L2_Punc</ability>
      <abilityName>标点符号检查</abilityName>
      <candidateList>
        <item>.</item>
      </candidateList>
      <explain/>
      <paraID>1BFEFC5D</paraID>
      <start>1</start>
      <end>2</end>
      <status>ignored</status>
      <modifiedWord/>
      <trackRevisions>false</trackRevisions>
    </reviewItem>
    <reviewItem>
      <errorID>2b48c735-d193-4d72-aac3-0581695bddcc</errorID>
      <errorWord>、</errorWord>
      <group>L1_Punc</group>
      <groupName>标点问题</groupName>
      <ability>L2_Punc</ability>
      <abilityName>标点符号检查</abilityName>
      <candidateList>
        <item>.</item>
      </candidateList>
      <explain/>
      <paraID>20242F43</paraID>
      <start>1</start>
      <end>3</end>
      <status>modified</status>
      <modifiedWord>.</modifiedWord>
      <trackRevisions>true</trackRevisions>
    </reviewItem>
    <reviewItem>
      <errorID>f3d7afa6-f1e9-4f3e-a0ad-b4e42018198f</errorID>
      <errorWord>、</errorWord>
      <group>L1_Punc</group>
      <groupName>标点问题</groupName>
      <ability>L2_Punc</ability>
      <abilityName>标点符号检查</abilityName>
      <candidateList>
        <item>.</item>
      </candidateList>
      <explain/>
      <paraID>2735EF03</paraID>
      <start>1</start>
      <end>3</end>
      <status>modified</status>
      <modifiedWord>.</modifiedWord>
      <trackRevisions>true</trackRevisions>
    </reviewItem>
    <reviewItem>
      <errorID>b4c56431-0d96-49f0-8a94-317a9c363583</errorID>
      <errorWord>、</errorWord>
      <group>L1_Punc</group>
      <groupName>标点问题</groupName>
      <ability>L2_Punc</ability>
      <abilityName>标点符号检查</abilityName>
      <candidateList>
        <item>.</item>
      </candidateList>
      <explain/>
      <paraID>54077FE8</paraID>
      <start>1</start>
      <end>3</end>
      <status>modified</status>
      <modifiedWord>.</modifiedWord>
      <trackRevisions>true</trackRevisions>
    </reviewItem>
    <reviewItem>
      <errorID>2cf783fa-ee20-4707-9ad9-07f457612b41</errorID>
      <errorWord>、</errorWord>
      <group>L1_Punc</group>
      <groupName>标点问题</groupName>
      <ability>L2_Punc</ability>
      <abilityName>标点符号检查</abilityName>
      <candidateList>
        <item>.</item>
      </candidateList>
      <explain/>
      <paraID>3EC2D966</paraID>
      <start>1</start>
      <end>3</end>
      <status>modified</status>
      <modifiedWord>.</modifiedWord>
      <trackRevisions>true</trackRevisions>
    </reviewItem>
    <reviewItem>
      <errorID>5f71b810-4b75-4c1f-84c6-35c83dfb7928</errorID>
      <errorWord>、</errorWord>
      <group>L1_Punc</group>
      <groupName>标点问题</groupName>
      <ability>L2_Punc</ability>
      <abilityName>标点符号检查</abilityName>
      <candidateList>
        <item>.</item>
      </candidateList>
      <explain/>
      <paraID>541AEA08</paraID>
      <start>1</start>
      <end>3</end>
      <status>modified</status>
      <modifiedWord>.</modifiedWord>
      <trackRevisions>true</trackRevisions>
    </reviewItem>
    <reviewItem>
      <errorID>c369db28-7b6b-4c66-8424-cfdb42a5ac4a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3FDBAE8</paraID>
      <start>0</start>
      <end>2</end>
      <status>ignored</status>
      <modifiedWord/>
      <trackRevisions>false</trackRevisions>
    </reviewItem>
    <reviewItem>
      <errorID>7dfff313-2d69-4e33-a75b-cccce7178c6b</errorID>
      <errorWord>普遍地</errorWord>
      <group>L1_Word</group>
      <groupName>字词问题</groupName>
      <ability>L2_Typo</ability>
      <abilityName>字词错误</abilityName>
      <candidateList>
        <item>普遍</item>
      </candidateList>
      <explain/>
      <paraID>1B4B65D9</paraID>
      <start>11</start>
      <end>16</end>
      <status>modified</status>
      <modifiedWord>普遍</modifiedWord>
      <trackRevisions>true</trackRevisions>
    </reviewItem>
    <reviewItem>
      <errorID>462f4349-c546-4c6c-8cff-1a23e9f2a252</errorID>
      <errorWord>一般</errorWord>
      <group>L1_Word</group>
      <groupName>字词问题</groupName>
      <ability>L2_Typo</ability>
      <abilityName>字词错误</abilityName>
      <candidateList>
        <item>一定</item>
      </candidateList>
      <explain/>
      <paraID>22B94F42</paraID>
      <start>11</start>
      <end>15</end>
      <status>modified</status>
      <modifiedWord>一定</modifiedWord>
      <trackRevisions>true</trackRevisions>
    </reviewItem>
    <reviewItem>
      <errorID>4c0931c8-1bdc-4de6-be38-c8e7850efc8a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276FC420</paraID>
      <start>0</start>
      <end>2</end>
      <status>ignored</status>
      <modifiedWord/>
      <trackRevisions>false</trackRevisions>
    </reviewItem>
    <reviewItem>
      <errorID>a32e0830-2494-48bf-bb13-cf8d09c2500d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402AD913</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83DE93-4BF2-4592-8554-47BEE72BB139}">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Pages>
  <Words>1425</Words>
  <Characters>8124</Characters>
  <Application>Microsoft Office Word</Application>
  <DocSecurity>0</DocSecurity>
  <Lines>67</Lines>
  <Paragraphs>19</Paragraphs>
  <ScaleCrop>false</ScaleCrop>
  <Company/>
  <LinksUpToDate>false</LinksUpToDate>
  <CharactersWithSpaces>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李云</dc:creator>
  <cp:lastModifiedBy>林德生</cp:lastModifiedBy>
  <cp:revision>36</cp:revision>
  <cp:lastPrinted>2023-01-13T02:31:00Z</cp:lastPrinted>
  <dcterms:created xsi:type="dcterms:W3CDTF">2023-01-04T06:41:00Z</dcterms:created>
  <dcterms:modified xsi:type="dcterms:W3CDTF">2026-03-27T02:59:00Z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76829A5E3B2D4A1598ADDCCAB2932E5A</vt:lpwstr>
  </property>
  <property fmtid="{D5CDD505-2E9C-101B-9397-08002B2CF9AE}" pid="4" name="KSOTemplateDocerSaveRecord">
    <vt:lpwstr>eyJoZGlkIjoiMWM1YTQ4YTJjM2Q3ZDlhOWU3ZmExZDUyMGIwNDIxZDUiLCJ1c2VySWQiOiI3NjI5MjE4MzUifQ==</vt:lpwstr>
  </property>
</Properties>
</file>